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59C7A641" w:rsidR="007B5C58" w:rsidRPr="009A1CA4" w:rsidRDefault="00C45175" w:rsidP="00715D00">
      <w:pPr>
        <w:spacing w:line="276" w:lineRule="auto"/>
        <w:rPr>
          <w:rFonts w:asciiTheme="majorHAnsi" w:hAnsiTheme="majorHAnsi"/>
          <w:noProof/>
        </w:rPr>
      </w:pPr>
      <w:r w:rsidRPr="00C45175">
        <w:rPr>
          <w:rFonts w:asciiTheme="majorHAnsi" w:hAnsiTheme="majorHAnsi"/>
          <w:noProof/>
        </w:rPr>
        <w:t xml:space="preserve">Příloha č. 6 </w:t>
      </w:r>
      <w:r w:rsidR="002109F9" w:rsidRPr="00C45175">
        <w:rPr>
          <w:rFonts w:asciiTheme="majorHAnsi" w:hAnsiTheme="majorHAnsi"/>
          <w:noProof/>
        </w:rPr>
        <w:t xml:space="preserve">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sp.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61D6B1E6"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C45175">
        <w:rPr>
          <w:rFonts w:ascii="Calibri" w:hAnsi="Calibri"/>
          <w:b/>
          <w:sz w:val="22"/>
          <w:szCs w:val="22"/>
        </w:rPr>
        <w:t>Ing. Alešem Krejčím, náměstkem GŘ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C3E1706" w14:textId="248EDAB8"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480C1F"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480C1F">
        <w:rPr>
          <w:rFonts w:eastAsia="Times New Roman" w:cs="Times New Roman"/>
          <w:b/>
          <w:highlight w:val="green"/>
          <w:lang w:eastAsia="cs-CZ"/>
        </w:rPr>
        <w:t>Poskytovatel:</w:t>
      </w:r>
      <w:r w:rsidRPr="00480C1F">
        <w:rPr>
          <w:rFonts w:eastAsia="Times New Roman" w:cs="Times New Roman"/>
          <w:highlight w:val="green"/>
          <w:lang w:eastAsia="cs-CZ"/>
        </w:rPr>
        <w:tab/>
      </w:r>
      <w:r w:rsidRPr="00480C1F">
        <w:rPr>
          <w:rFonts w:eastAsia="Times New Roman" w:cs="Times New Roman"/>
          <w:i/>
          <w:highlight w:val="green"/>
          <w:lang w:eastAsia="cs-CZ"/>
        </w:rPr>
        <w:t>jméno osoby/název firmy</w:t>
      </w:r>
    </w:p>
    <w:p w14:paraId="0FE41C6B" w14:textId="77777777" w:rsidR="00715D00" w:rsidRPr="00480C1F"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480C1F">
        <w:rPr>
          <w:rFonts w:eastAsia="Times New Roman" w:cs="Times New Roman"/>
          <w:highlight w:val="green"/>
          <w:lang w:eastAsia="cs-CZ"/>
        </w:rPr>
        <w:tab/>
      </w:r>
      <w:r w:rsidRPr="00480C1F">
        <w:rPr>
          <w:rFonts w:eastAsia="Times New Roman" w:cs="Times New Roman"/>
          <w:highlight w:val="green"/>
          <w:lang w:eastAsia="cs-CZ"/>
        </w:rPr>
        <w:tab/>
      </w:r>
      <w:r w:rsidRPr="00480C1F">
        <w:rPr>
          <w:rFonts w:eastAsia="Times New Roman" w:cs="Times New Roman"/>
          <w:i/>
          <w:highlight w:val="green"/>
          <w:lang w:eastAsia="cs-CZ"/>
        </w:rPr>
        <w:t>údaje o zápisu v evidenci</w:t>
      </w:r>
    </w:p>
    <w:p w14:paraId="3D22FEE7" w14:textId="77777777" w:rsidR="00715D00" w:rsidRPr="00480C1F"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480C1F">
        <w:rPr>
          <w:rFonts w:eastAsia="Times New Roman" w:cs="Times New Roman"/>
          <w:highlight w:val="green"/>
          <w:lang w:eastAsia="cs-CZ"/>
        </w:rPr>
        <w:tab/>
      </w:r>
      <w:r w:rsidRPr="00480C1F">
        <w:rPr>
          <w:rFonts w:eastAsia="Times New Roman" w:cs="Times New Roman"/>
          <w:highlight w:val="green"/>
          <w:lang w:eastAsia="cs-CZ"/>
        </w:rPr>
        <w:tab/>
      </w:r>
      <w:r w:rsidRPr="00480C1F">
        <w:rPr>
          <w:rFonts w:eastAsia="Times New Roman" w:cs="Times New Roman"/>
          <w:i/>
          <w:highlight w:val="green"/>
          <w:lang w:eastAsia="cs-CZ"/>
        </w:rPr>
        <w:t>Sídlo:</w:t>
      </w:r>
    </w:p>
    <w:p w14:paraId="0299A915" w14:textId="77777777" w:rsidR="00715D00" w:rsidRPr="00480C1F"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480C1F">
        <w:rPr>
          <w:rFonts w:eastAsia="Times New Roman" w:cs="Times New Roman"/>
          <w:highlight w:val="green"/>
          <w:lang w:eastAsia="cs-CZ"/>
        </w:rPr>
        <w:tab/>
      </w:r>
      <w:r w:rsidRPr="00480C1F">
        <w:rPr>
          <w:rFonts w:eastAsia="Times New Roman" w:cs="Times New Roman"/>
          <w:highlight w:val="green"/>
          <w:lang w:eastAsia="cs-CZ"/>
        </w:rPr>
        <w:tab/>
        <w:t>IČO ……………………, DIČ …………………</w:t>
      </w:r>
    </w:p>
    <w:p w14:paraId="5BF830D7" w14:textId="77777777" w:rsidR="00715D00" w:rsidRPr="00480C1F"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480C1F">
        <w:rPr>
          <w:rFonts w:eastAsia="Times New Roman" w:cs="Times New Roman"/>
          <w:highlight w:val="green"/>
          <w:lang w:eastAsia="cs-CZ"/>
        </w:rPr>
        <w:t>Bankovní spojení:……………………..</w:t>
      </w:r>
    </w:p>
    <w:p w14:paraId="5B769A5F" w14:textId="77777777" w:rsidR="00715D00" w:rsidRPr="00480C1F"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480C1F">
        <w:rPr>
          <w:rFonts w:eastAsia="Times New Roman" w:cs="Times New Roman"/>
          <w:highlight w:val="green"/>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80C1F">
        <w:rPr>
          <w:rFonts w:eastAsia="Times New Roman" w:cs="Times New Roman"/>
          <w:highlight w:val="green"/>
          <w:lang w:eastAsia="cs-CZ"/>
        </w:rPr>
        <w:tab/>
      </w:r>
      <w:r w:rsidRPr="00480C1F">
        <w:rPr>
          <w:rFonts w:eastAsia="Times New Roman" w:cs="Times New Roman"/>
          <w:highlight w:val="green"/>
          <w:lang w:eastAsia="cs-CZ"/>
        </w:rPr>
        <w:tab/>
      </w:r>
      <w:r w:rsidRPr="00480C1F">
        <w:rPr>
          <w:rFonts w:eastAsia="Times New Roman" w:cs="Times New Roman"/>
          <w:i/>
          <w:highlight w:val="green"/>
          <w:lang w:eastAsia="cs-CZ"/>
        </w:rPr>
        <w:t>údaje o statutárním orgánu nebo jiné oprávněné osobě</w:t>
      </w:r>
      <w:bookmarkStart w:id="0" w:name="_GoBack"/>
      <w:bookmarkEnd w:id="0"/>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2D8F1429"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295F84">
        <w:rPr>
          <w:rFonts w:eastAsia="Times New Roman" w:cs="Times New Roman"/>
          <w:b/>
          <w:lang w:eastAsia="cs-CZ"/>
        </w:rPr>
        <w:t>„</w:t>
      </w:r>
      <w:r w:rsidR="00C45175" w:rsidRPr="00295F84">
        <w:rPr>
          <w:rFonts w:ascii="Verdana" w:eastAsia="Verdana" w:hAnsi="Verdana" w:cs="Verdana"/>
          <w:b/>
          <w:color w:val="000000"/>
        </w:rPr>
        <w:t>Poskytování technické podpory v rámci služeb Bentley SELECT</w:t>
      </w:r>
      <w:r w:rsidRPr="00C04F70">
        <w:rPr>
          <w:rFonts w:eastAsia="Times New Roman" w:cs="Times New Roman"/>
          <w:lang w:eastAsia="cs-CZ"/>
        </w:rPr>
        <w:t xml:space="preserve">“, č.j. veřejné zakázky </w:t>
      </w:r>
      <w:r w:rsidR="00C04F70" w:rsidRPr="00C04F70">
        <w:rPr>
          <w:rFonts w:eastAsia="Times New Roman" w:cs="Times New Roman"/>
          <w:lang w:eastAsia="cs-CZ"/>
        </w:rPr>
        <w:t xml:space="preserve">38592/2020-SŽ-GŘ-O8  </w:t>
      </w:r>
      <w:r w:rsidRPr="00C04F70">
        <w:rPr>
          <w:rFonts w:eastAsia="Times New Roman" w:cs="Times New Roman"/>
          <w:lang w:eastAsia="cs-CZ"/>
        </w:rPr>
        <w:t>(dále jen „veřejná zakázka“). Jednotlivá ustanovení této</w:t>
      </w:r>
      <w:r w:rsidRPr="006062F9">
        <w:rPr>
          <w:rFonts w:eastAsia="Times New Roman" w:cs="Times New Roman"/>
          <w:lang w:eastAsia="cs-CZ"/>
        </w:rPr>
        <w:t xml:space="preserve">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2EC089BE" w:rsidR="0032510E" w:rsidRDefault="0032510E" w:rsidP="00ED7F5D">
      <w:pPr>
        <w:pStyle w:val="Clanek11"/>
        <w:widowControl/>
        <w:numPr>
          <w:ilvl w:val="1"/>
          <w:numId w:val="4"/>
        </w:numPr>
        <w:ind w:left="709" w:hanging="709"/>
        <w:jc w:val="left"/>
        <w:rPr>
          <w:rFonts w:asciiTheme="majorHAnsi" w:hAnsiTheme="majorHAnsi"/>
          <w:sz w:val="18"/>
          <w:szCs w:val="18"/>
        </w:rPr>
      </w:pPr>
      <w:bookmarkStart w:id="1"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 xml:space="preserve">ní podporu (maintenance) pro Předmět subskripce od autorizovaného distributora nebo výrobce pro Předmět subskripce, což je </w:t>
      </w:r>
      <w:bookmarkStart w:id="2" w:name="_Ref520795128"/>
      <w:bookmarkStart w:id="3" w:name="_Ref518316726"/>
      <w:bookmarkEnd w:id="1"/>
      <w:r w:rsidRPr="009A1CA4">
        <w:rPr>
          <w:rFonts w:asciiTheme="majorHAnsi" w:hAnsiTheme="majorHAnsi"/>
          <w:sz w:val="18"/>
          <w:szCs w:val="18"/>
        </w:rPr>
        <w:t xml:space="preserve">Software, jehož parametry a vlastnosti jsou blíže </w:t>
      </w:r>
      <w:r w:rsidRPr="002D1187">
        <w:rPr>
          <w:rFonts w:asciiTheme="majorHAnsi" w:hAnsiTheme="majorHAnsi"/>
          <w:sz w:val="18"/>
          <w:szCs w:val="18"/>
        </w:rPr>
        <w:t xml:space="preserve">specifikované Příloze č. 1 </w:t>
      </w:r>
      <w:r w:rsidRPr="002D1187">
        <w:rPr>
          <w:rFonts w:asciiTheme="majorHAnsi" w:hAnsiTheme="majorHAnsi"/>
          <w:i/>
          <w:iCs w:val="0"/>
          <w:sz w:val="18"/>
          <w:szCs w:val="18"/>
        </w:rPr>
        <w:t>Specifikace Plnění</w:t>
      </w:r>
      <w:r w:rsidRPr="009A1CA4">
        <w:rPr>
          <w:rFonts w:asciiTheme="majorHAnsi" w:hAnsiTheme="majorHAnsi"/>
          <w:sz w:val="18"/>
          <w:szCs w:val="18"/>
        </w:rPr>
        <w:t>.</w:t>
      </w:r>
    </w:p>
    <w:p w14:paraId="0AD5391D" w14:textId="7FEED595" w:rsidR="00DA32A6" w:rsidRPr="00DA32A6" w:rsidRDefault="00DA32A6" w:rsidP="00ED7F5D">
      <w:pPr>
        <w:pStyle w:val="Clanek11"/>
        <w:widowControl/>
        <w:numPr>
          <w:ilvl w:val="1"/>
          <w:numId w:val="4"/>
        </w:numPr>
        <w:ind w:left="709" w:hanging="709"/>
        <w:jc w:val="left"/>
        <w:rPr>
          <w:rFonts w:asciiTheme="majorHAnsi" w:hAnsiTheme="majorHAnsi"/>
          <w:sz w:val="18"/>
          <w:szCs w:val="18"/>
        </w:rPr>
      </w:pPr>
      <w:r>
        <w:rPr>
          <w:rFonts w:asciiTheme="majorHAnsi" w:hAnsiTheme="majorHAnsi"/>
          <w:sz w:val="18"/>
          <w:szCs w:val="18"/>
        </w:rPr>
        <w:t>Předmětem plnění je:</w:t>
      </w:r>
    </w:p>
    <w:p w14:paraId="30FCC908" w14:textId="681CD876" w:rsidR="00DA32A6" w:rsidRPr="00DA32A6" w:rsidRDefault="00DA32A6" w:rsidP="00ED7F5D">
      <w:pPr>
        <w:pStyle w:val="Clanek11"/>
        <w:widowControl/>
        <w:numPr>
          <w:ilvl w:val="2"/>
          <w:numId w:val="8"/>
        </w:numPr>
        <w:jc w:val="left"/>
        <w:rPr>
          <w:rFonts w:asciiTheme="majorHAnsi" w:hAnsiTheme="majorHAnsi"/>
          <w:sz w:val="18"/>
          <w:szCs w:val="18"/>
        </w:rPr>
      </w:pPr>
      <w:r w:rsidRPr="00DA32A6">
        <w:rPr>
          <w:rFonts w:asciiTheme="majorHAnsi" w:hAnsiTheme="majorHAnsi"/>
          <w:sz w:val="18"/>
          <w:szCs w:val="18"/>
        </w:rPr>
        <w:t>zajištění technické podpory produktů Bentley v rámci služeb Bentley SELECT pro portfolio plovoucích licencí Objednatele: Microstation 60ks.</w:t>
      </w:r>
    </w:p>
    <w:p w14:paraId="2B710E20" w14:textId="77915E5C" w:rsidR="00DA32A6" w:rsidRPr="00DA32A6" w:rsidRDefault="00DA32A6" w:rsidP="00ED7F5D">
      <w:pPr>
        <w:pStyle w:val="Clanek11"/>
        <w:widowControl/>
        <w:numPr>
          <w:ilvl w:val="2"/>
          <w:numId w:val="8"/>
        </w:numPr>
        <w:jc w:val="left"/>
        <w:rPr>
          <w:rFonts w:asciiTheme="majorHAnsi" w:hAnsiTheme="majorHAnsi"/>
          <w:sz w:val="18"/>
          <w:szCs w:val="18"/>
        </w:rPr>
      </w:pPr>
      <w:r w:rsidRPr="00DA32A6">
        <w:rPr>
          <w:rFonts w:asciiTheme="majorHAnsi" w:hAnsiTheme="majorHAnsi"/>
          <w:sz w:val="18"/>
          <w:szCs w:val="18"/>
        </w:rPr>
        <w:t xml:space="preserve">užívání licencí MicroStation nad smluvený počet </w:t>
      </w:r>
      <w:r>
        <w:rPr>
          <w:rFonts w:asciiTheme="majorHAnsi" w:hAnsiTheme="majorHAnsi"/>
          <w:sz w:val="18"/>
          <w:szCs w:val="18"/>
        </w:rPr>
        <w:t>stanovený v bodě 1</w:t>
      </w:r>
      <w:r w:rsidRPr="00DA32A6">
        <w:rPr>
          <w:rFonts w:asciiTheme="majorHAnsi" w:hAnsiTheme="majorHAnsi"/>
          <w:sz w:val="18"/>
          <w:szCs w:val="18"/>
        </w:rPr>
        <w:t xml:space="preserve">.2.1 této Výzvy podle potřeby Objednatele. </w:t>
      </w:r>
    </w:p>
    <w:p w14:paraId="4DE83E09" w14:textId="10E93992" w:rsidR="00897C2C" w:rsidRPr="009A1CA4" w:rsidRDefault="00897C2C" w:rsidP="00ED7F5D">
      <w:pPr>
        <w:pStyle w:val="Clanek11"/>
        <w:widowControl/>
        <w:numPr>
          <w:ilvl w:val="1"/>
          <w:numId w:val="4"/>
        </w:numPr>
        <w:ind w:left="0" w:firstLine="0"/>
        <w:jc w:val="left"/>
        <w:rPr>
          <w:rFonts w:asciiTheme="majorHAnsi" w:hAnsiTheme="majorHAnsi"/>
          <w:sz w:val="18"/>
          <w:szCs w:val="18"/>
        </w:rPr>
      </w:pPr>
      <w:bookmarkStart w:id="4" w:name="_Ref521128900"/>
      <w:bookmarkStart w:id="5" w:name="_Ref520795506"/>
      <w:bookmarkEnd w:id="2"/>
      <w:bookmarkEnd w:id="3"/>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4"/>
      <w:r w:rsidRPr="009A1CA4">
        <w:rPr>
          <w:rFonts w:asciiTheme="majorHAnsi" w:hAnsiTheme="majorHAnsi"/>
          <w:sz w:val="18"/>
          <w:szCs w:val="18"/>
        </w:rPr>
        <w:t xml:space="preserve"> </w:t>
      </w:r>
    </w:p>
    <w:p w14:paraId="61A0C6BE" w14:textId="1F2A327B" w:rsidR="00917C14" w:rsidRPr="00C04F70" w:rsidRDefault="00897C2C" w:rsidP="00AD4BD9">
      <w:pPr>
        <w:pStyle w:val="Claneka"/>
      </w:pPr>
      <w:bookmarkStart w:id="6" w:name="_Ref520812427"/>
      <w:r w:rsidRPr="00C04F70">
        <w:lastRenderedPageBreak/>
        <w:t xml:space="preserve">dodat a Instalovat Předmět subskripce do IT prostředí </w:t>
      </w:r>
      <w:r w:rsidR="00E659BE" w:rsidRPr="00C04F70">
        <w:t>o</w:t>
      </w:r>
      <w:r w:rsidRPr="00C04F70">
        <w:t>bjednatele</w:t>
      </w:r>
      <w:r w:rsidR="00327431" w:rsidRPr="00C04F70">
        <w:t>;</w:t>
      </w:r>
    </w:p>
    <w:p w14:paraId="6FF5614E" w14:textId="14CCE442" w:rsidR="00897C2C" w:rsidRPr="009A1CA4" w:rsidRDefault="00897C2C" w:rsidP="00AD4BD9">
      <w:pPr>
        <w:pStyle w:val="Claneka"/>
      </w:pPr>
      <w:bookmarkStart w:id="7" w:name="_Ref522630279"/>
      <w:r w:rsidRPr="00C04F70">
        <w:t>udělit nebo zajistit (společně též „</w:t>
      </w:r>
      <w:r w:rsidRPr="00C04F70">
        <w:rPr>
          <w:b/>
          <w:bCs/>
        </w:rPr>
        <w:t>poskytnout</w:t>
      </w:r>
      <w:r w:rsidRPr="00C04F70">
        <w:t>“) podporu (maintenance) pro Předmět subskripce obsahující provádění činností v souladu s Přílohou</w:t>
      </w:r>
      <w:r w:rsidRPr="002D1187">
        <w:t xml:space="preserve"> č. 1 </w:t>
      </w:r>
      <w:r w:rsidRPr="002D1187">
        <w:rPr>
          <w:i/>
        </w:rPr>
        <w:t>Specifikace Plnění</w:t>
      </w:r>
      <w:r w:rsidR="0032510E" w:rsidRPr="002D1187">
        <w:t xml:space="preserve">, </w:t>
      </w:r>
      <w:r w:rsidRPr="002D1187">
        <w:t>včetně zpřístupňování Aktualizací, Modernizací</w:t>
      </w:r>
      <w:r w:rsidRPr="009A1CA4">
        <w:t xml:space="preserve"> anebo Zásadních modernizací a pravidelně informovat Objednatele o dostupných Aktualizacích, Modernizacích, Zásadních modernizacích, a to </w:t>
      </w:r>
      <w:r w:rsidR="00DB1ECF">
        <w:t>průběžně a bezodkladně</w:t>
      </w:r>
      <w:r w:rsidRPr="009A1CA4">
        <w:t xml:space="preserve"> ode dne jejich zpřístupnění výrobcem Předmětu subskripce;</w:t>
      </w:r>
      <w:bookmarkEnd w:id="7"/>
    </w:p>
    <w:p w14:paraId="0943BE21" w14:textId="569DA690" w:rsidR="00897C2C" w:rsidRPr="00C04F70" w:rsidRDefault="00897C2C" w:rsidP="00C04F70">
      <w:pPr>
        <w:pStyle w:val="Claneka"/>
      </w:pPr>
      <w:bookmarkStart w:id="8" w:name="_Ref523846033"/>
      <w:bookmarkEnd w:id="5"/>
      <w:bookmarkEnd w:id="6"/>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9A1CA4">
        <w:t xml:space="preserve"> </w:t>
      </w:r>
      <w:r w:rsidR="00162D7B" w:rsidRPr="009A1CA4">
        <w:t>S</w:t>
      </w:r>
      <w:r w:rsidR="0032510E" w:rsidRPr="009A1CA4">
        <w:t>ubskripce</w:t>
      </w:r>
      <w:r w:rsidR="00327431">
        <w:t>;</w:t>
      </w:r>
    </w:p>
    <w:p w14:paraId="1B19DECB" w14:textId="73A2A999" w:rsidR="00897C2C" w:rsidRPr="009A1CA4" w:rsidRDefault="00897C2C" w:rsidP="00AD4BD9">
      <w:pPr>
        <w:pStyle w:val="Claneka"/>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AD4BD9">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17680C50" w:rsidR="00897C2C" w:rsidRPr="009A1CA4" w:rsidRDefault="00897C2C" w:rsidP="00AD4BD9">
      <w:pPr>
        <w:pStyle w:val="Claneka"/>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A762E6">
      <w:pPr>
        <w:pStyle w:val="Claneki"/>
        <w:ind w:left="1843"/>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A762E6">
      <w:pPr>
        <w:pStyle w:val="Claneki"/>
        <w:ind w:left="1843"/>
      </w:pPr>
      <w:bookmarkStart w:id="11" w:name="_Ref522806567"/>
      <w:r w:rsidRPr="009A1CA4">
        <w:t>udržování aktuální Dokumentace k Předmětu subskripce;</w:t>
      </w:r>
      <w:bookmarkEnd w:id="11"/>
    </w:p>
    <w:p w14:paraId="0D75BF5D" w14:textId="7E30FE2A" w:rsidR="00897C2C" w:rsidRPr="009A1CA4" w:rsidRDefault="00897C2C" w:rsidP="00A762E6">
      <w:pPr>
        <w:pStyle w:val="Claneki"/>
        <w:ind w:left="1843"/>
      </w:pPr>
      <w:bookmarkStart w:id="12" w:name="_Ref521128908"/>
      <w:r w:rsidRPr="009A1CA4">
        <w:t xml:space="preserve">podpora a správa Předmětu subskripce sestávající z řešení Incidentů spojených s provozem Předmětu subskripce poskytnutou v souladu </w:t>
      </w:r>
      <w:r w:rsidRPr="002D1187">
        <w:t>s </w:t>
      </w:r>
      <w:r w:rsidRPr="002D1187">
        <w:rPr>
          <w:bCs/>
        </w:rPr>
        <w:t>Přílohou č. 1</w:t>
      </w:r>
      <w:r w:rsidRPr="002D1187">
        <w:t xml:space="preserve"> </w:t>
      </w:r>
      <w:r w:rsidRPr="002D1187">
        <w:rPr>
          <w:i/>
        </w:rPr>
        <w:t>Specifikace Plnění</w:t>
      </w:r>
      <w:bookmarkEnd w:id="12"/>
      <w:r w:rsidR="00327431" w:rsidRPr="004B124B">
        <w:rPr>
          <w:iCs/>
        </w:rPr>
        <w:t>;</w:t>
      </w:r>
    </w:p>
    <w:p w14:paraId="793B1DEF" w14:textId="77C8D634" w:rsidR="00897C2C" w:rsidRPr="009A1CA4" w:rsidRDefault="00897C2C" w:rsidP="00A762E6">
      <w:pPr>
        <w:pStyle w:val="Claneki"/>
        <w:ind w:left="1843"/>
        <w:rPr>
          <w:color w:val="auto"/>
        </w:rPr>
      </w:pPr>
      <w:r w:rsidRPr="009A1CA4">
        <w:t>podávání pravidelných Výkazů o plnění SLA</w:t>
      </w:r>
      <w:r w:rsidR="00327431">
        <w:t>;</w:t>
      </w:r>
    </w:p>
    <w:p w14:paraId="1DFD2EC9" w14:textId="77777777" w:rsidR="00897C2C" w:rsidRPr="009A1CA4" w:rsidRDefault="00897C2C" w:rsidP="00ED7F5D">
      <w:pPr>
        <w:pStyle w:val="Odstavecseseznamem"/>
        <w:numPr>
          <w:ilvl w:val="1"/>
          <w:numId w:val="6"/>
        </w:numPr>
        <w:tabs>
          <w:tab w:val="left" w:pos="1361"/>
        </w:tabs>
        <w:spacing w:after="0"/>
        <w:ind w:left="0" w:firstLine="0"/>
        <w:rPr>
          <w:rFonts w:asciiTheme="majorHAnsi" w:hAnsiTheme="majorHAnsi"/>
          <w:vanish/>
        </w:rPr>
      </w:pPr>
    </w:p>
    <w:p w14:paraId="5014ED81" w14:textId="55CAED53" w:rsidR="00897C2C" w:rsidRDefault="00897C2C" w:rsidP="00AD4BD9">
      <w:pPr>
        <w:pStyle w:val="Claneka"/>
      </w:pPr>
      <w:r w:rsidRPr="009A1CA4">
        <w:t>poskytnutí oprávnění užít veškerý Softwar</w:t>
      </w:r>
      <w:r w:rsidR="00053158">
        <w:t>e poskytnutý v rámci Subskripce</w:t>
      </w:r>
    </w:p>
    <w:p w14:paraId="359BD226" w14:textId="7E6F55EE" w:rsidR="00855162" w:rsidRPr="009A1CA4" w:rsidRDefault="00855162" w:rsidP="00A762E6">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ED7F5D">
      <w:pPr>
        <w:pStyle w:val="Clanek11"/>
        <w:keepNext/>
        <w:widowControl/>
        <w:numPr>
          <w:ilvl w:val="1"/>
          <w:numId w:val="4"/>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C51FEE">
      <w:pPr>
        <w:pStyle w:val="Nadpis4"/>
      </w:pPr>
      <w:r w:rsidRPr="009A1CA4">
        <w:t>Povinnosti Poskytovatele</w:t>
      </w:r>
      <w:bookmarkStart w:id="13" w:name="_Ref516577784"/>
    </w:p>
    <w:p w14:paraId="29CFED77" w14:textId="5CC45A40" w:rsidR="00B660F5" w:rsidRPr="009A1CA4" w:rsidRDefault="00B660F5" w:rsidP="00ED7F5D">
      <w:pPr>
        <w:pStyle w:val="Clanek11"/>
        <w:keepNext/>
        <w:widowControl/>
        <w:numPr>
          <w:ilvl w:val="1"/>
          <w:numId w:val="4"/>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AD4BD9">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77777777" w:rsidR="00B660F5" w:rsidRPr="009A1CA4" w:rsidRDefault="00B660F5" w:rsidP="00AD4BD9">
      <w:pPr>
        <w:pStyle w:val="Claneka"/>
      </w:pPr>
      <w:bookmarkStart w:id="16" w:name="_Ref516577380"/>
      <w:r w:rsidRPr="009A1CA4">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Poskytovatele;</w:t>
      </w:r>
      <w:bookmarkEnd w:id="16"/>
    </w:p>
    <w:p w14:paraId="4F3DAA11" w14:textId="138EE8E0" w:rsidR="00B660F5" w:rsidRPr="009A1CA4" w:rsidRDefault="00B660F5" w:rsidP="00AD4BD9">
      <w:pPr>
        <w:pStyle w:val="Claneka"/>
      </w:pPr>
      <w:bookmarkStart w:id="17" w:name="_Ref516577416"/>
      <w:r w:rsidRPr="00C04F70">
        <w:t>zajistit veškerá nutná uzavření prováděcích smluv s výrobcem Předmětu subskripce</w:t>
      </w:r>
      <w:r w:rsidR="004B124B">
        <w:t xml:space="preserve">, </w:t>
      </w:r>
      <w:r w:rsidRPr="009A1CA4">
        <w:t>zaplatit veškeré daně, odvody, poplatky a obstarat veškerá povolení, Licence a souhlasy vyžadované obecně závaznými právními předpisy ve vztahu k poskytování Plnění;</w:t>
      </w:r>
      <w:bookmarkEnd w:id="17"/>
    </w:p>
    <w:p w14:paraId="0BB2203A" w14:textId="45D18F5B" w:rsidR="00B660F5" w:rsidRPr="009A1CA4" w:rsidRDefault="00B660F5" w:rsidP="00AD4BD9">
      <w:pPr>
        <w:pStyle w:val="Claneka"/>
      </w:pPr>
      <w:r w:rsidRPr="00C04F70">
        <w:lastRenderedPageBreak/>
        <w:t>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w:t>
      </w:r>
      <w:r w:rsidRPr="009A1CA4">
        <w:rPr>
          <w:highlight w:val="yellow"/>
        </w:rPr>
        <w:t xml:space="preserve"> </w:t>
      </w:r>
    </w:p>
    <w:p w14:paraId="111E75D7" w14:textId="2B0ADA8E" w:rsidR="000C6D45" w:rsidRPr="00C51FEE" w:rsidRDefault="000C6D45" w:rsidP="00ED7F5D">
      <w:pPr>
        <w:pStyle w:val="Clanek11"/>
        <w:widowControl/>
        <w:numPr>
          <w:ilvl w:val="1"/>
          <w:numId w:val="4"/>
        </w:numPr>
        <w:ind w:left="709" w:hanging="709"/>
        <w:jc w:val="left"/>
        <w:rPr>
          <w:rFonts w:asciiTheme="majorHAnsi" w:hAnsiTheme="majorHAnsi"/>
          <w:sz w:val="18"/>
          <w:szCs w:val="18"/>
        </w:rPr>
      </w:pPr>
      <w:r w:rsidRPr="00C51FEE">
        <w:rPr>
          <w:rFonts w:asciiTheme="majorHAnsi" w:hAnsiTheme="majorHAnsi"/>
          <w:sz w:val="18"/>
          <w:szCs w:val="18"/>
        </w:rPr>
        <w:t xml:space="preserve">Poskytovatel se zavazuje nejpozději do </w:t>
      </w:r>
      <w:r w:rsidRPr="00C04F70">
        <w:rPr>
          <w:rFonts w:asciiTheme="majorHAnsi" w:hAnsiTheme="majorHAnsi"/>
          <w:sz w:val="18"/>
          <w:szCs w:val="18"/>
        </w:rPr>
        <w:t>deseti (10) dnů</w:t>
      </w:r>
      <w:r w:rsidRPr="00C51FEE">
        <w:rPr>
          <w:rFonts w:asciiTheme="majorHAnsi" w:hAnsiTheme="majorHAnsi"/>
          <w:sz w:val="18"/>
          <w:szCs w:val="18"/>
        </w:rPr>
        <w:t xml:space="preserve"> od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AD4BD9">
      <w:pPr>
        <w:pStyle w:val="Claneka"/>
      </w:pPr>
      <w:r w:rsidRPr="00C51FEE">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D601A2A" w:rsidR="000C6D45" w:rsidRPr="00C51FEE" w:rsidRDefault="00947509" w:rsidP="00AD4BD9">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C51FEE">
      <w:pPr>
        <w:pStyle w:val="Nadpis4"/>
      </w:pPr>
      <w:r w:rsidRPr="009A1CA4">
        <w:t>D</w:t>
      </w:r>
      <w:r w:rsidR="00FD775E" w:rsidRPr="009A1CA4">
        <w:t xml:space="preserve">oba a místo </w:t>
      </w:r>
      <w:r w:rsidR="00855162" w:rsidRPr="009A1CA4">
        <w:t>plnění</w:t>
      </w:r>
    </w:p>
    <w:p w14:paraId="570AA4FA" w14:textId="5DF6D412" w:rsidR="00855162" w:rsidRPr="00C45175" w:rsidRDefault="00855162" w:rsidP="00ED7F5D">
      <w:pPr>
        <w:pStyle w:val="Clanek11"/>
        <w:widowControl/>
        <w:numPr>
          <w:ilvl w:val="1"/>
          <w:numId w:val="4"/>
        </w:numPr>
        <w:ind w:left="709" w:hanging="709"/>
        <w:jc w:val="left"/>
        <w:rPr>
          <w:rFonts w:asciiTheme="majorHAnsi" w:hAnsiTheme="majorHAnsi"/>
          <w:sz w:val="18"/>
          <w:szCs w:val="18"/>
        </w:rPr>
      </w:pPr>
      <w:r w:rsidRPr="00C45175">
        <w:rPr>
          <w:rFonts w:asciiTheme="majorHAnsi" w:hAnsiTheme="majorHAnsi"/>
          <w:sz w:val="18"/>
          <w:szCs w:val="18"/>
        </w:rPr>
        <w:t xml:space="preserve">Poskytovatel se zavazuje poskytnout Objednateli </w:t>
      </w:r>
      <w:r w:rsidR="00162D7B" w:rsidRPr="00C45175">
        <w:rPr>
          <w:rFonts w:asciiTheme="majorHAnsi" w:hAnsiTheme="majorHAnsi"/>
          <w:sz w:val="18"/>
          <w:szCs w:val="18"/>
        </w:rPr>
        <w:t>s</w:t>
      </w:r>
      <w:r w:rsidRPr="00C45175">
        <w:rPr>
          <w:rFonts w:asciiTheme="majorHAnsi" w:hAnsiTheme="majorHAnsi"/>
          <w:sz w:val="18"/>
          <w:szCs w:val="18"/>
        </w:rPr>
        <w:t xml:space="preserve">ubskripci </w:t>
      </w:r>
      <w:r w:rsidR="00931BF0">
        <w:rPr>
          <w:rFonts w:asciiTheme="majorHAnsi" w:hAnsiTheme="majorHAnsi"/>
          <w:sz w:val="18"/>
          <w:szCs w:val="18"/>
        </w:rPr>
        <w:t>od účinnosti smlouvy, nejdříve však od</w:t>
      </w:r>
      <w:r w:rsidRPr="00C45175">
        <w:rPr>
          <w:rFonts w:asciiTheme="majorHAnsi" w:hAnsiTheme="majorHAnsi"/>
          <w:sz w:val="18"/>
          <w:szCs w:val="18"/>
        </w:rPr>
        <w:t xml:space="preserve"> </w:t>
      </w:r>
      <w:r w:rsidR="00C45175" w:rsidRPr="00C45175">
        <w:rPr>
          <w:rFonts w:asciiTheme="majorHAnsi" w:hAnsiTheme="majorHAnsi"/>
          <w:sz w:val="18"/>
          <w:szCs w:val="18"/>
        </w:rPr>
        <w:t>1.</w:t>
      </w:r>
      <w:r w:rsidR="00BF2167">
        <w:rPr>
          <w:rFonts w:asciiTheme="majorHAnsi" w:hAnsiTheme="majorHAnsi"/>
          <w:sz w:val="18"/>
          <w:szCs w:val="18"/>
        </w:rPr>
        <w:t xml:space="preserve"> </w:t>
      </w:r>
      <w:r w:rsidR="00C45175" w:rsidRPr="00C45175">
        <w:rPr>
          <w:rFonts w:asciiTheme="majorHAnsi" w:hAnsiTheme="majorHAnsi"/>
          <w:sz w:val="18"/>
          <w:szCs w:val="18"/>
        </w:rPr>
        <w:t>10.</w:t>
      </w:r>
      <w:r w:rsidR="00BF2167">
        <w:rPr>
          <w:rFonts w:asciiTheme="majorHAnsi" w:hAnsiTheme="majorHAnsi"/>
          <w:sz w:val="18"/>
          <w:szCs w:val="18"/>
        </w:rPr>
        <w:t xml:space="preserve"> </w:t>
      </w:r>
      <w:r w:rsidR="00C45175" w:rsidRPr="00C45175">
        <w:rPr>
          <w:rFonts w:asciiTheme="majorHAnsi" w:hAnsiTheme="majorHAnsi"/>
          <w:sz w:val="18"/>
          <w:szCs w:val="18"/>
        </w:rPr>
        <w:t>2020</w:t>
      </w:r>
      <w:r w:rsidR="007B5C58" w:rsidRPr="00C45175">
        <w:rPr>
          <w:rFonts w:asciiTheme="majorHAnsi" w:hAnsiTheme="majorHAnsi"/>
          <w:sz w:val="18"/>
          <w:szCs w:val="18"/>
        </w:rPr>
        <w:t>.</w:t>
      </w:r>
    </w:p>
    <w:p w14:paraId="4E67F598" w14:textId="696F07F3" w:rsidR="00855162" w:rsidRPr="00C45175" w:rsidRDefault="00855162" w:rsidP="00ED7F5D">
      <w:pPr>
        <w:pStyle w:val="Clanek11"/>
        <w:widowControl/>
        <w:numPr>
          <w:ilvl w:val="1"/>
          <w:numId w:val="4"/>
        </w:numPr>
        <w:ind w:left="709" w:hanging="709"/>
        <w:jc w:val="left"/>
        <w:rPr>
          <w:rFonts w:asciiTheme="majorHAnsi" w:hAnsiTheme="majorHAnsi"/>
          <w:sz w:val="18"/>
          <w:szCs w:val="18"/>
        </w:rPr>
      </w:pPr>
      <w:r w:rsidRPr="00C45175">
        <w:rPr>
          <w:rFonts w:asciiTheme="majorHAnsi" w:hAnsiTheme="majorHAnsi"/>
          <w:sz w:val="18"/>
          <w:szCs w:val="18"/>
        </w:rPr>
        <w:t xml:space="preserve">Poskytovatel se zavazuje poskytovat Objednateli </w:t>
      </w:r>
      <w:r w:rsidR="00162D7B" w:rsidRPr="00C45175">
        <w:rPr>
          <w:rFonts w:asciiTheme="majorHAnsi" w:hAnsiTheme="majorHAnsi"/>
          <w:sz w:val="18"/>
          <w:szCs w:val="18"/>
        </w:rPr>
        <w:t>s</w:t>
      </w:r>
      <w:r w:rsidRPr="00C45175">
        <w:rPr>
          <w:rFonts w:asciiTheme="majorHAnsi" w:hAnsiTheme="majorHAnsi"/>
          <w:sz w:val="18"/>
          <w:szCs w:val="18"/>
        </w:rPr>
        <w:t xml:space="preserve">ubskripci </w:t>
      </w:r>
      <w:r w:rsidR="00C45175" w:rsidRPr="00C45175">
        <w:rPr>
          <w:rFonts w:asciiTheme="majorHAnsi" w:hAnsiTheme="majorHAnsi"/>
          <w:sz w:val="18"/>
          <w:szCs w:val="18"/>
        </w:rPr>
        <w:t>do 30.</w:t>
      </w:r>
      <w:r w:rsidR="00BF2167">
        <w:rPr>
          <w:rFonts w:asciiTheme="majorHAnsi" w:hAnsiTheme="majorHAnsi"/>
          <w:sz w:val="18"/>
          <w:szCs w:val="18"/>
        </w:rPr>
        <w:t xml:space="preserve"> </w:t>
      </w:r>
      <w:r w:rsidR="00C45175" w:rsidRPr="00C45175">
        <w:rPr>
          <w:rFonts w:asciiTheme="majorHAnsi" w:hAnsiTheme="majorHAnsi"/>
          <w:sz w:val="18"/>
          <w:szCs w:val="18"/>
        </w:rPr>
        <w:t>9.</w:t>
      </w:r>
      <w:r w:rsidR="00BF2167">
        <w:rPr>
          <w:rFonts w:asciiTheme="majorHAnsi" w:hAnsiTheme="majorHAnsi"/>
          <w:sz w:val="18"/>
          <w:szCs w:val="18"/>
        </w:rPr>
        <w:t xml:space="preserve"> </w:t>
      </w:r>
      <w:r w:rsidR="00C45175" w:rsidRPr="00C45175">
        <w:rPr>
          <w:rFonts w:asciiTheme="majorHAnsi" w:hAnsiTheme="majorHAnsi"/>
          <w:sz w:val="18"/>
          <w:szCs w:val="18"/>
        </w:rPr>
        <w:t>2021</w:t>
      </w:r>
      <w:r w:rsidR="00327431" w:rsidRPr="00C45175">
        <w:rPr>
          <w:rFonts w:asciiTheme="majorHAnsi" w:hAnsiTheme="majorHAnsi"/>
          <w:sz w:val="18"/>
          <w:szCs w:val="18"/>
        </w:rPr>
        <w:t>.</w:t>
      </w:r>
    </w:p>
    <w:p w14:paraId="7B00033F" w14:textId="6594EDAE" w:rsidR="007B5C58" w:rsidRPr="00C51FEE" w:rsidRDefault="007B5C58" w:rsidP="00ED7F5D">
      <w:pPr>
        <w:pStyle w:val="Clanek11"/>
        <w:widowControl/>
        <w:numPr>
          <w:ilvl w:val="1"/>
          <w:numId w:val="4"/>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ED7F5D">
      <w:pPr>
        <w:pStyle w:val="Clanek11"/>
        <w:widowControl/>
        <w:numPr>
          <w:ilvl w:val="1"/>
          <w:numId w:val="4"/>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7E52666E" w14:textId="47877938" w:rsidR="00897C2C" w:rsidRPr="00C51FEE" w:rsidRDefault="00897C2C" w:rsidP="00C51FEE">
      <w:pPr>
        <w:pStyle w:val="Nadpis4"/>
      </w:pPr>
      <w:r w:rsidRPr="009A1CA4">
        <w:t>Kontaktní osoby</w:t>
      </w:r>
    </w:p>
    <w:p w14:paraId="3A309135" w14:textId="512626CB" w:rsidR="00897C2C" w:rsidRPr="00C51FEE" w:rsidRDefault="00897C2C" w:rsidP="00ED7F5D">
      <w:pPr>
        <w:pStyle w:val="Clanek11"/>
        <w:widowControl/>
        <w:numPr>
          <w:ilvl w:val="1"/>
          <w:numId w:val="4"/>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15600CBC" w:rsidR="00897C2C" w:rsidRPr="00C45175" w:rsidRDefault="00897C2C" w:rsidP="00ED7F5D">
      <w:pPr>
        <w:pStyle w:val="Clanek11"/>
        <w:widowControl/>
        <w:numPr>
          <w:ilvl w:val="1"/>
          <w:numId w:val="4"/>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w:t>
      </w:r>
      <w:r w:rsidRPr="00C45175">
        <w:rPr>
          <w:rFonts w:asciiTheme="majorHAnsi" w:hAnsiTheme="majorHAnsi"/>
          <w:sz w:val="18"/>
          <w:szCs w:val="18"/>
        </w:rPr>
        <w:t>Objednatele</w:t>
      </w:r>
      <w:r w:rsidR="00AC70B2" w:rsidRPr="00C45175">
        <w:rPr>
          <w:rFonts w:asciiTheme="majorHAnsi" w:hAnsiTheme="majorHAnsi"/>
          <w:sz w:val="18"/>
          <w:szCs w:val="18"/>
        </w:rPr>
        <w:t xml:space="preserve">: </w:t>
      </w:r>
      <w:r w:rsidR="00C45175" w:rsidRPr="00C45175">
        <w:rPr>
          <w:rFonts w:asciiTheme="majorHAnsi" w:hAnsiTheme="majorHAnsi"/>
          <w:sz w:val="18"/>
          <w:szCs w:val="18"/>
        </w:rPr>
        <w:t>Ing. Josef Skácel</w:t>
      </w:r>
      <w:r w:rsidR="00AC70B2" w:rsidRPr="00C45175">
        <w:rPr>
          <w:rFonts w:asciiTheme="majorHAnsi" w:hAnsiTheme="majorHAnsi"/>
          <w:sz w:val="18"/>
          <w:szCs w:val="18"/>
        </w:rPr>
        <w:t xml:space="preserve">, </w:t>
      </w:r>
      <w:r w:rsidR="00C45175" w:rsidRPr="00C45175">
        <w:rPr>
          <w:rFonts w:asciiTheme="majorHAnsi" w:hAnsiTheme="majorHAnsi"/>
          <w:sz w:val="18"/>
          <w:szCs w:val="18"/>
        </w:rPr>
        <w:t>tel.: 972 235 835</w:t>
      </w:r>
      <w:r w:rsidRPr="00C45175">
        <w:rPr>
          <w:rFonts w:asciiTheme="majorHAnsi" w:hAnsiTheme="majorHAnsi"/>
          <w:sz w:val="18"/>
          <w:szCs w:val="18"/>
        </w:rPr>
        <w:t>,</w:t>
      </w:r>
      <w:r w:rsidR="00C45175" w:rsidRPr="00C45175">
        <w:rPr>
          <w:rFonts w:asciiTheme="majorHAnsi" w:hAnsiTheme="majorHAnsi"/>
          <w:sz w:val="18"/>
          <w:szCs w:val="18"/>
        </w:rPr>
        <w:t xml:space="preserve"> e-mail: Skacel@szdc.cz</w:t>
      </w:r>
    </w:p>
    <w:p w14:paraId="21B7F2A6" w14:textId="14D50BFB" w:rsidR="00897C2C" w:rsidRPr="00C51FEE" w:rsidRDefault="00897C2C" w:rsidP="00ED7F5D">
      <w:pPr>
        <w:pStyle w:val="Clanek11"/>
        <w:widowControl/>
        <w:numPr>
          <w:ilvl w:val="1"/>
          <w:numId w:val="4"/>
        </w:numPr>
        <w:ind w:left="709" w:hanging="709"/>
        <w:jc w:val="left"/>
        <w:rPr>
          <w:rFonts w:asciiTheme="majorHAnsi" w:hAnsiTheme="majorHAnsi"/>
          <w:sz w:val="18"/>
          <w:szCs w:val="18"/>
        </w:rPr>
      </w:pPr>
      <w:r w:rsidRPr="00C51FEE">
        <w:rPr>
          <w:rFonts w:asciiTheme="majorHAnsi" w:hAnsiTheme="majorHAnsi"/>
          <w:sz w:val="18"/>
          <w:szCs w:val="18"/>
        </w:rPr>
        <w:t>Kontaktní osobou Objednatele pro oblast kybernetické bezpečnosti je</w:t>
      </w:r>
      <w:r w:rsidR="00C45175">
        <w:rPr>
          <w:rFonts w:asciiTheme="majorHAnsi" w:hAnsiTheme="majorHAnsi"/>
          <w:sz w:val="18"/>
          <w:szCs w:val="18"/>
        </w:rPr>
        <w:t xml:space="preserve"> Ing</w:t>
      </w:r>
      <w:r w:rsidRPr="00C51FEE">
        <w:rPr>
          <w:rFonts w:asciiTheme="majorHAnsi" w:hAnsiTheme="majorHAnsi"/>
          <w:sz w:val="18"/>
          <w:szCs w:val="18"/>
        </w:rPr>
        <w:t>.</w:t>
      </w:r>
      <w:r w:rsidR="00C45175">
        <w:rPr>
          <w:rFonts w:asciiTheme="majorHAnsi" w:hAnsiTheme="majorHAnsi"/>
          <w:sz w:val="18"/>
          <w:szCs w:val="18"/>
        </w:rPr>
        <w:t xml:space="preserve"> Pavel Kříž, tel.: 972 241 463, e-mail: KrizPa@szdc.cz</w:t>
      </w:r>
    </w:p>
    <w:p w14:paraId="63E4CEDB" w14:textId="7AA220B6" w:rsidR="00897C2C" w:rsidRPr="00C51FEE" w:rsidRDefault="00897C2C" w:rsidP="00C51FEE">
      <w:pPr>
        <w:pStyle w:val="Nadpis4"/>
      </w:pPr>
      <w:r w:rsidRPr="009A1CA4">
        <w:t>Cena a platební podmínky</w:t>
      </w:r>
    </w:p>
    <w:p w14:paraId="77222245" w14:textId="7003B069" w:rsidR="00C04F70" w:rsidRDefault="00897C2C" w:rsidP="00ED7F5D">
      <w:pPr>
        <w:pStyle w:val="Clanek11"/>
        <w:widowControl/>
        <w:numPr>
          <w:ilvl w:val="1"/>
          <w:numId w:val="4"/>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58939B43" w14:textId="46E15E49" w:rsidR="00C04F70" w:rsidRDefault="00C04F70" w:rsidP="00C04F70">
      <w:pPr>
        <w:pStyle w:val="Clanek11"/>
        <w:widowControl/>
        <w:tabs>
          <w:tab w:val="clear" w:pos="567"/>
        </w:tabs>
        <w:ind w:left="709" w:firstLine="0"/>
        <w:jc w:val="left"/>
        <w:rPr>
          <w:rFonts w:asciiTheme="majorHAnsi" w:hAnsiTheme="majorHAnsi"/>
          <w:sz w:val="18"/>
          <w:szCs w:val="18"/>
        </w:rPr>
      </w:pPr>
    </w:p>
    <w:p w14:paraId="4EEAFD78" w14:textId="77777777" w:rsidR="00C04F70" w:rsidRPr="00C04F70" w:rsidRDefault="00C04F70" w:rsidP="00C04F70">
      <w:pPr>
        <w:pStyle w:val="Clanek11"/>
        <w:widowControl/>
        <w:tabs>
          <w:tab w:val="clear" w:pos="567"/>
        </w:tabs>
        <w:ind w:left="709" w:firstLine="0"/>
        <w:jc w:val="left"/>
        <w:rPr>
          <w:rFonts w:asciiTheme="majorHAnsi" w:hAnsiTheme="majorHAnsi"/>
          <w:sz w:val="18"/>
          <w:szCs w:val="18"/>
        </w:rPr>
      </w:pPr>
    </w:p>
    <w:p w14:paraId="0C0C53D5" w14:textId="268F7F32" w:rsidR="002D1187" w:rsidRPr="00DA32A6" w:rsidRDefault="00ED7F5D" w:rsidP="00ED7F5D">
      <w:pPr>
        <w:pStyle w:val="Clanek11"/>
        <w:widowControl/>
        <w:numPr>
          <w:ilvl w:val="1"/>
          <w:numId w:val="4"/>
        </w:numPr>
        <w:ind w:left="709" w:hanging="709"/>
        <w:jc w:val="left"/>
        <w:rPr>
          <w:rFonts w:asciiTheme="majorHAnsi" w:hAnsiTheme="majorHAnsi"/>
          <w:sz w:val="18"/>
          <w:szCs w:val="18"/>
        </w:rPr>
      </w:pPr>
      <w:r>
        <w:rPr>
          <w:rFonts w:asciiTheme="majorHAnsi" w:hAnsiTheme="majorHAnsi"/>
          <w:sz w:val="18"/>
          <w:szCs w:val="18"/>
        </w:rPr>
        <w:t>Celková c</w:t>
      </w:r>
      <w:r w:rsidR="002D1187" w:rsidRPr="00DA32A6">
        <w:rPr>
          <w:rFonts w:asciiTheme="majorHAnsi" w:hAnsiTheme="majorHAnsi"/>
          <w:sz w:val="18"/>
          <w:szCs w:val="18"/>
        </w:rPr>
        <w:t xml:space="preserve">ena za </w:t>
      </w:r>
      <w:r>
        <w:rPr>
          <w:rFonts w:asciiTheme="majorHAnsi" w:hAnsiTheme="majorHAnsi"/>
          <w:sz w:val="18"/>
          <w:szCs w:val="18"/>
        </w:rPr>
        <w:t xml:space="preserve">60 kusů licencí </w:t>
      </w:r>
      <w:r w:rsidRPr="00ED7F5D">
        <w:rPr>
          <w:rFonts w:asciiTheme="majorHAnsi" w:hAnsiTheme="majorHAnsi"/>
          <w:sz w:val="18"/>
          <w:szCs w:val="18"/>
        </w:rPr>
        <w:t>MicroStation</w:t>
      </w:r>
      <w:r w:rsidR="002D1187" w:rsidRPr="00DA32A6">
        <w:rPr>
          <w:rFonts w:asciiTheme="majorHAnsi" w:hAnsiTheme="majorHAnsi"/>
          <w:sz w:val="18"/>
          <w:szCs w:val="18"/>
        </w:rPr>
        <w:t>:</w:t>
      </w:r>
    </w:p>
    <w:p w14:paraId="4FF8D451" w14:textId="77777777" w:rsidR="002D1187" w:rsidRPr="00DA32A6" w:rsidRDefault="002D1187" w:rsidP="00DA32A6">
      <w:pPr>
        <w:pStyle w:val="Odstavecseseznamem"/>
        <w:ind w:left="709"/>
        <w:jc w:val="both"/>
        <w:rPr>
          <w:rFonts w:asciiTheme="majorHAnsi" w:hAnsiTheme="majorHAnsi"/>
        </w:rPr>
      </w:pPr>
      <w:r w:rsidRPr="00DA32A6">
        <w:rPr>
          <w:rFonts w:asciiTheme="majorHAnsi" w:hAnsiTheme="majorHAnsi"/>
        </w:rPr>
        <w:t xml:space="preserve">Cena bez DPH </w:t>
      </w:r>
      <w:r w:rsidRPr="00DA32A6">
        <w:rPr>
          <w:rFonts w:asciiTheme="majorHAnsi" w:hAnsiTheme="majorHAnsi"/>
        </w:rPr>
        <w:tab/>
      </w:r>
      <w:r w:rsidRPr="00DA32A6">
        <w:rPr>
          <w:rFonts w:asciiTheme="majorHAnsi" w:hAnsiTheme="majorHAnsi"/>
        </w:rPr>
        <w:tab/>
        <w:t xml:space="preserve"> </w:t>
      </w:r>
      <w:r w:rsidRPr="006943C0">
        <w:rPr>
          <w:rFonts w:asciiTheme="majorHAnsi" w:hAnsiTheme="majorHAnsi"/>
          <w:highlight w:val="green"/>
        </w:rPr>
        <w:t>……………….</w:t>
      </w:r>
      <w:r w:rsidRPr="00DA32A6">
        <w:rPr>
          <w:rFonts w:asciiTheme="majorHAnsi" w:hAnsiTheme="majorHAnsi"/>
        </w:rPr>
        <w:t xml:space="preserve"> Kč. </w:t>
      </w:r>
    </w:p>
    <w:p w14:paraId="17F5FB46" w14:textId="5B114E90" w:rsidR="002D1187" w:rsidRPr="00DA32A6" w:rsidRDefault="002D1187" w:rsidP="00DA32A6">
      <w:pPr>
        <w:pStyle w:val="Odstavecseseznamem"/>
        <w:ind w:left="709"/>
        <w:jc w:val="both"/>
        <w:rPr>
          <w:rFonts w:asciiTheme="majorHAnsi" w:hAnsiTheme="majorHAnsi"/>
        </w:rPr>
      </w:pPr>
      <w:r w:rsidRPr="00DA32A6">
        <w:rPr>
          <w:rFonts w:asciiTheme="majorHAnsi" w:hAnsiTheme="majorHAnsi"/>
        </w:rPr>
        <w:t xml:space="preserve">Výše DPH 21%     </w:t>
      </w:r>
      <w:r w:rsidRPr="00DA32A6">
        <w:rPr>
          <w:rFonts w:asciiTheme="majorHAnsi" w:hAnsiTheme="majorHAnsi"/>
        </w:rPr>
        <w:tab/>
      </w:r>
      <w:r w:rsidR="00DA32A6" w:rsidRPr="00DA32A6">
        <w:rPr>
          <w:rFonts w:asciiTheme="majorHAnsi" w:hAnsiTheme="majorHAnsi"/>
        </w:rPr>
        <w:t xml:space="preserve"> </w:t>
      </w:r>
      <w:r w:rsidRPr="006943C0">
        <w:rPr>
          <w:rFonts w:asciiTheme="majorHAnsi" w:hAnsiTheme="majorHAnsi"/>
          <w:highlight w:val="green"/>
        </w:rPr>
        <w:t>……………….</w:t>
      </w:r>
      <w:r w:rsidRPr="00DA32A6">
        <w:rPr>
          <w:rFonts w:asciiTheme="majorHAnsi" w:hAnsiTheme="majorHAnsi"/>
        </w:rPr>
        <w:t xml:space="preserve"> Kč.</w:t>
      </w:r>
    </w:p>
    <w:p w14:paraId="5BC85786" w14:textId="6190D16B" w:rsidR="00DA32A6" w:rsidRDefault="002D1187" w:rsidP="00DA32A6">
      <w:pPr>
        <w:pStyle w:val="Odstavecseseznamem"/>
        <w:ind w:left="709"/>
        <w:jc w:val="both"/>
        <w:rPr>
          <w:rFonts w:asciiTheme="majorHAnsi" w:hAnsiTheme="majorHAnsi"/>
        </w:rPr>
      </w:pPr>
      <w:r w:rsidRPr="00DA32A6">
        <w:rPr>
          <w:rFonts w:asciiTheme="majorHAnsi" w:hAnsiTheme="majorHAnsi"/>
        </w:rPr>
        <w:t xml:space="preserve">Cena včetně DPH </w:t>
      </w:r>
      <w:r w:rsidRPr="00DA32A6">
        <w:rPr>
          <w:rFonts w:asciiTheme="majorHAnsi" w:hAnsiTheme="majorHAnsi"/>
        </w:rPr>
        <w:tab/>
        <w:t xml:space="preserve"> </w:t>
      </w:r>
      <w:r w:rsidRPr="006943C0">
        <w:rPr>
          <w:rFonts w:asciiTheme="majorHAnsi" w:hAnsiTheme="majorHAnsi"/>
          <w:highlight w:val="green"/>
        </w:rPr>
        <w:t>……………….</w:t>
      </w:r>
      <w:r w:rsidRPr="00DA32A6">
        <w:rPr>
          <w:rFonts w:asciiTheme="majorHAnsi" w:hAnsiTheme="majorHAnsi"/>
        </w:rPr>
        <w:t xml:space="preserve"> Kč.</w:t>
      </w:r>
    </w:p>
    <w:p w14:paraId="0BBEEA3D" w14:textId="4612553B" w:rsidR="00ED7F5D" w:rsidRDefault="00ED7F5D" w:rsidP="00DA32A6">
      <w:pPr>
        <w:pStyle w:val="Odstavecseseznamem"/>
        <w:ind w:left="709"/>
        <w:jc w:val="both"/>
        <w:rPr>
          <w:rFonts w:asciiTheme="majorHAnsi" w:hAnsiTheme="majorHAnsi"/>
        </w:rPr>
      </w:pPr>
    </w:p>
    <w:p w14:paraId="0FD0A86A" w14:textId="376C7ADA" w:rsidR="00ED7F5D" w:rsidRPr="00DA32A6" w:rsidRDefault="00ED7F5D" w:rsidP="009439B3">
      <w:pPr>
        <w:pStyle w:val="Clanek11"/>
        <w:widowControl/>
        <w:numPr>
          <w:ilvl w:val="1"/>
          <w:numId w:val="4"/>
        </w:numPr>
        <w:jc w:val="left"/>
        <w:rPr>
          <w:rFonts w:asciiTheme="majorHAnsi" w:hAnsiTheme="majorHAnsi"/>
          <w:sz w:val="18"/>
          <w:szCs w:val="18"/>
        </w:rPr>
      </w:pPr>
      <w:r>
        <w:rPr>
          <w:rFonts w:asciiTheme="majorHAnsi" w:hAnsiTheme="majorHAnsi"/>
          <w:sz w:val="18"/>
          <w:szCs w:val="18"/>
        </w:rPr>
        <w:t>C</w:t>
      </w:r>
      <w:r w:rsidRPr="00DA32A6">
        <w:rPr>
          <w:rFonts w:asciiTheme="majorHAnsi" w:hAnsiTheme="majorHAnsi"/>
          <w:sz w:val="18"/>
          <w:szCs w:val="18"/>
        </w:rPr>
        <w:t xml:space="preserve">ena za </w:t>
      </w:r>
      <w:r>
        <w:rPr>
          <w:rFonts w:asciiTheme="majorHAnsi" w:hAnsiTheme="majorHAnsi"/>
          <w:sz w:val="18"/>
          <w:szCs w:val="18"/>
        </w:rPr>
        <w:t xml:space="preserve">1 kus licence </w:t>
      </w:r>
      <w:r w:rsidRPr="00ED7F5D">
        <w:rPr>
          <w:rFonts w:asciiTheme="majorHAnsi" w:hAnsiTheme="majorHAnsi"/>
          <w:sz w:val="18"/>
          <w:szCs w:val="18"/>
        </w:rPr>
        <w:t>MicroStation</w:t>
      </w:r>
      <w:r w:rsidR="009439B3">
        <w:rPr>
          <w:rFonts w:asciiTheme="majorHAnsi" w:hAnsiTheme="majorHAnsi"/>
          <w:sz w:val="18"/>
          <w:szCs w:val="18"/>
        </w:rPr>
        <w:t xml:space="preserve"> pořizované v</w:t>
      </w:r>
      <w:r w:rsidR="009439B3" w:rsidRPr="009439B3">
        <w:rPr>
          <w:rFonts w:asciiTheme="majorHAnsi" w:hAnsiTheme="majorHAnsi"/>
          <w:sz w:val="18"/>
          <w:szCs w:val="18"/>
        </w:rPr>
        <w:t xml:space="preserve"> případ</w:t>
      </w:r>
      <w:r w:rsidR="009439B3">
        <w:rPr>
          <w:rFonts w:asciiTheme="majorHAnsi" w:hAnsiTheme="majorHAnsi"/>
          <w:sz w:val="18"/>
          <w:szCs w:val="18"/>
        </w:rPr>
        <w:t>ě</w:t>
      </w:r>
      <w:r w:rsidR="009439B3" w:rsidRPr="009439B3">
        <w:rPr>
          <w:rFonts w:asciiTheme="majorHAnsi" w:hAnsiTheme="majorHAnsi"/>
          <w:sz w:val="18"/>
          <w:szCs w:val="18"/>
        </w:rPr>
        <w:t xml:space="preserve"> nutnosti pořízení licencí nad předpokládaný počet 60 kusů</w:t>
      </w:r>
      <w:r w:rsidRPr="00DA32A6">
        <w:rPr>
          <w:rFonts w:asciiTheme="majorHAnsi" w:hAnsiTheme="majorHAnsi"/>
          <w:sz w:val="18"/>
          <w:szCs w:val="18"/>
        </w:rPr>
        <w:t>:</w:t>
      </w:r>
    </w:p>
    <w:p w14:paraId="52D9B19D" w14:textId="77777777" w:rsidR="00ED7F5D" w:rsidRPr="00DA32A6" w:rsidRDefault="00ED7F5D" w:rsidP="00ED7F5D">
      <w:pPr>
        <w:pStyle w:val="Odstavecseseznamem"/>
        <w:ind w:left="709"/>
        <w:jc w:val="both"/>
        <w:rPr>
          <w:rFonts w:asciiTheme="majorHAnsi" w:hAnsiTheme="majorHAnsi"/>
        </w:rPr>
      </w:pPr>
      <w:r w:rsidRPr="00DA32A6">
        <w:rPr>
          <w:rFonts w:asciiTheme="majorHAnsi" w:hAnsiTheme="majorHAnsi"/>
        </w:rPr>
        <w:t xml:space="preserve">Cena bez DPH </w:t>
      </w:r>
      <w:r w:rsidRPr="00DA32A6">
        <w:rPr>
          <w:rFonts w:asciiTheme="majorHAnsi" w:hAnsiTheme="majorHAnsi"/>
        </w:rPr>
        <w:tab/>
      </w:r>
      <w:r w:rsidRPr="00DA32A6">
        <w:rPr>
          <w:rFonts w:asciiTheme="majorHAnsi" w:hAnsiTheme="majorHAnsi"/>
        </w:rPr>
        <w:tab/>
        <w:t xml:space="preserve"> </w:t>
      </w:r>
      <w:r w:rsidRPr="006943C0">
        <w:rPr>
          <w:rFonts w:asciiTheme="majorHAnsi" w:hAnsiTheme="majorHAnsi"/>
          <w:highlight w:val="green"/>
        </w:rPr>
        <w:t>……………….</w:t>
      </w:r>
      <w:r w:rsidRPr="00DA32A6">
        <w:rPr>
          <w:rFonts w:asciiTheme="majorHAnsi" w:hAnsiTheme="majorHAnsi"/>
        </w:rPr>
        <w:t xml:space="preserve"> Kč. </w:t>
      </w:r>
    </w:p>
    <w:p w14:paraId="047FBC57" w14:textId="77777777" w:rsidR="00ED7F5D" w:rsidRPr="00DA32A6" w:rsidRDefault="00ED7F5D" w:rsidP="00ED7F5D">
      <w:pPr>
        <w:pStyle w:val="Odstavecseseznamem"/>
        <w:ind w:left="709"/>
        <w:jc w:val="both"/>
        <w:rPr>
          <w:rFonts w:asciiTheme="majorHAnsi" w:hAnsiTheme="majorHAnsi"/>
        </w:rPr>
      </w:pPr>
      <w:r w:rsidRPr="00DA32A6">
        <w:rPr>
          <w:rFonts w:asciiTheme="majorHAnsi" w:hAnsiTheme="majorHAnsi"/>
        </w:rPr>
        <w:t xml:space="preserve">Výše DPH 21%     </w:t>
      </w:r>
      <w:r w:rsidRPr="00DA32A6">
        <w:rPr>
          <w:rFonts w:asciiTheme="majorHAnsi" w:hAnsiTheme="majorHAnsi"/>
        </w:rPr>
        <w:tab/>
        <w:t xml:space="preserve"> </w:t>
      </w:r>
      <w:r w:rsidRPr="006943C0">
        <w:rPr>
          <w:rFonts w:asciiTheme="majorHAnsi" w:hAnsiTheme="majorHAnsi"/>
          <w:highlight w:val="green"/>
        </w:rPr>
        <w:t>……………….</w:t>
      </w:r>
      <w:r w:rsidRPr="00DA32A6">
        <w:rPr>
          <w:rFonts w:asciiTheme="majorHAnsi" w:hAnsiTheme="majorHAnsi"/>
        </w:rPr>
        <w:t xml:space="preserve"> Kč.</w:t>
      </w:r>
    </w:p>
    <w:p w14:paraId="485C96FE" w14:textId="54211C09" w:rsidR="00ED7F5D" w:rsidRPr="00ED7F5D" w:rsidRDefault="00ED7F5D" w:rsidP="00ED7F5D">
      <w:pPr>
        <w:pStyle w:val="Odstavecseseznamem"/>
        <w:ind w:left="709"/>
        <w:jc w:val="both"/>
        <w:rPr>
          <w:rFonts w:asciiTheme="majorHAnsi" w:hAnsiTheme="majorHAnsi"/>
        </w:rPr>
      </w:pPr>
      <w:r w:rsidRPr="00DA32A6">
        <w:rPr>
          <w:rFonts w:asciiTheme="majorHAnsi" w:hAnsiTheme="majorHAnsi"/>
        </w:rPr>
        <w:t xml:space="preserve">Cena včetně DPH </w:t>
      </w:r>
      <w:r w:rsidRPr="00DA32A6">
        <w:rPr>
          <w:rFonts w:asciiTheme="majorHAnsi" w:hAnsiTheme="majorHAnsi"/>
        </w:rPr>
        <w:tab/>
        <w:t xml:space="preserve"> </w:t>
      </w:r>
      <w:r w:rsidRPr="006943C0">
        <w:rPr>
          <w:rFonts w:asciiTheme="majorHAnsi" w:hAnsiTheme="majorHAnsi"/>
          <w:highlight w:val="green"/>
        </w:rPr>
        <w:t>……………….</w:t>
      </w:r>
      <w:r w:rsidRPr="00DA32A6">
        <w:rPr>
          <w:rFonts w:asciiTheme="majorHAnsi" w:hAnsiTheme="majorHAnsi"/>
        </w:rPr>
        <w:t xml:space="preserve"> Kč.</w:t>
      </w:r>
    </w:p>
    <w:p w14:paraId="0B577349" w14:textId="280BB695" w:rsidR="00B80A23" w:rsidRPr="00ED7F5D" w:rsidRDefault="00E631F4" w:rsidP="00ED7F5D">
      <w:pPr>
        <w:pStyle w:val="Clanek11"/>
        <w:widowControl/>
        <w:numPr>
          <w:ilvl w:val="1"/>
          <w:numId w:val="4"/>
        </w:numPr>
        <w:ind w:left="709" w:hanging="709"/>
        <w:jc w:val="left"/>
        <w:rPr>
          <w:rFonts w:asciiTheme="majorHAnsi" w:hAnsiTheme="majorHAnsi"/>
          <w:sz w:val="18"/>
          <w:szCs w:val="18"/>
        </w:rPr>
      </w:pPr>
      <w:r>
        <w:rPr>
          <w:rFonts w:asciiTheme="majorHAnsi" w:hAnsiTheme="majorHAnsi"/>
          <w:sz w:val="18"/>
          <w:szCs w:val="18"/>
        </w:rPr>
        <w:t>Maximální c</w:t>
      </w:r>
      <w:r w:rsidR="00ED7F5D" w:rsidRPr="00ED7F5D">
        <w:rPr>
          <w:rFonts w:asciiTheme="majorHAnsi" w:hAnsiTheme="majorHAnsi"/>
          <w:sz w:val="18"/>
          <w:szCs w:val="18"/>
        </w:rPr>
        <w:t xml:space="preserve">ena za umožnění užívání licencí Microstation nad smluvený počet podle potřeby </w:t>
      </w:r>
      <w:r w:rsidR="00ED7F5D">
        <w:rPr>
          <w:rFonts w:asciiTheme="majorHAnsi" w:hAnsiTheme="majorHAnsi"/>
          <w:sz w:val="18"/>
          <w:szCs w:val="18"/>
        </w:rPr>
        <w:t>objednatele</w:t>
      </w:r>
      <w:r>
        <w:rPr>
          <w:rFonts w:asciiTheme="majorHAnsi" w:hAnsiTheme="majorHAnsi"/>
          <w:sz w:val="18"/>
          <w:szCs w:val="18"/>
        </w:rPr>
        <w:t xml:space="preserve"> činí</w:t>
      </w:r>
      <w:r w:rsidR="00ED7F5D" w:rsidRPr="00ED7F5D">
        <w:rPr>
          <w:rFonts w:asciiTheme="majorHAnsi" w:hAnsiTheme="majorHAnsi"/>
          <w:sz w:val="18"/>
          <w:szCs w:val="18"/>
        </w:rPr>
        <w:t xml:space="preserve"> 1</w:t>
      </w:r>
      <w:r w:rsidR="00ED7F5D">
        <w:rPr>
          <w:rFonts w:asciiTheme="majorHAnsi" w:hAnsiTheme="majorHAnsi"/>
          <w:sz w:val="18"/>
          <w:szCs w:val="18"/>
        </w:rPr>
        <w:t xml:space="preserve"> 000 000 </w:t>
      </w:r>
      <w:r w:rsidR="00ED7F5D" w:rsidRPr="00ED7F5D">
        <w:rPr>
          <w:rFonts w:asciiTheme="majorHAnsi" w:hAnsiTheme="majorHAnsi"/>
          <w:sz w:val="18"/>
          <w:szCs w:val="18"/>
        </w:rPr>
        <w:t>Kč bez DPH.</w:t>
      </w:r>
    </w:p>
    <w:p w14:paraId="22AC201E" w14:textId="5D577641" w:rsidR="002D1187" w:rsidRDefault="002D1187" w:rsidP="00ED7F5D">
      <w:pPr>
        <w:pStyle w:val="Clanek11"/>
        <w:widowControl/>
        <w:numPr>
          <w:ilvl w:val="1"/>
          <w:numId w:val="4"/>
        </w:numPr>
        <w:ind w:left="709" w:hanging="709"/>
        <w:jc w:val="left"/>
        <w:rPr>
          <w:rFonts w:asciiTheme="majorHAnsi" w:hAnsiTheme="majorHAnsi"/>
          <w:sz w:val="18"/>
          <w:szCs w:val="18"/>
        </w:rPr>
      </w:pPr>
      <w:r w:rsidRPr="00DA32A6">
        <w:rPr>
          <w:rFonts w:asciiTheme="majorHAnsi" w:hAnsiTheme="majorHAnsi"/>
          <w:sz w:val="18"/>
          <w:szCs w:val="18"/>
        </w:rPr>
        <w:t xml:space="preserve">Platba za předmět služeb vymezený v bodě </w:t>
      </w:r>
      <w:r w:rsidR="005C6130">
        <w:rPr>
          <w:rFonts w:asciiTheme="majorHAnsi" w:hAnsiTheme="majorHAnsi"/>
          <w:sz w:val="18"/>
          <w:szCs w:val="18"/>
        </w:rPr>
        <w:t>1.2 a příloze č. 1</w:t>
      </w:r>
      <w:r w:rsidRPr="00DA32A6">
        <w:rPr>
          <w:rFonts w:asciiTheme="majorHAnsi" w:hAnsiTheme="majorHAnsi"/>
          <w:sz w:val="18"/>
          <w:szCs w:val="18"/>
        </w:rPr>
        <w:t xml:space="preserve"> této Smlouvy bude uskutečněna na základě fakturace provedené poskytovatelem podle následujícího splátkového kalendáře:</w:t>
      </w:r>
    </w:p>
    <w:p w14:paraId="7F608BA1" w14:textId="499E5281" w:rsidR="006943C0" w:rsidRPr="00DA32A6" w:rsidRDefault="006943C0" w:rsidP="006943C0">
      <w:pPr>
        <w:pStyle w:val="Clanek11"/>
        <w:widowControl/>
        <w:tabs>
          <w:tab w:val="clear" w:pos="567"/>
        </w:tabs>
        <w:ind w:left="709" w:firstLine="0"/>
        <w:jc w:val="left"/>
        <w:rPr>
          <w:rFonts w:asciiTheme="majorHAnsi" w:hAnsiTheme="majorHAnsi"/>
          <w:sz w:val="18"/>
          <w:szCs w:val="18"/>
        </w:rPr>
      </w:pPr>
      <w:r>
        <w:rPr>
          <w:rFonts w:asciiTheme="majorHAnsi" w:hAnsiTheme="majorHAnsi"/>
          <w:sz w:val="18"/>
          <w:szCs w:val="18"/>
        </w:rPr>
        <w:t>a) Fakturace za technickou podporu (smluvní licence):</w:t>
      </w:r>
    </w:p>
    <w:p w14:paraId="4058DA9E" w14:textId="5B59C8FC" w:rsidR="002D1187" w:rsidRPr="00DA32A6" w:rsidRDefault="002D1187" w:rsidP="006943C0">
      <w:pPr>
        <w:spacing w:after="0" w:line="240" w:lineRule="auto"/>
        <w:ind w:left="1134"/>
        <w:contextualSpacing/>
        <w:jc w:val="both"/>
        <w:rPr>
          <w:rFonts w:asciiTheme="majorHAnsi" w:hAnsiTheme="majorHAnsi"/>
        </w:rPr>
      </w:pPr>
      <w:r w:rsidRPr="00DA32A6">
        <w:rPr>
          <w:rFonts w:asciiTheme="majorHAnsi" w:hAnsiTheme="majorHAnsi"/>
        </w:rPr>
        <w:t>I. splátka</w:t>
      </w:r>
      <w:r w:rsidR="003A302A">
        <w:rPr>
          <w:rFonts w:asciiTheme="majorHAnsi" w:hAnsiTheme="majorHAnsi"/>
        </w:rPr>
        <w:t xml:space="preserve"> (4Q/2020)</w:t>
      </w:r>
      <w:r w:rsidRPr="00DA32A6">
        <w:rPr>
          <w:rFonts w:asciiTheme="majorHAnsi" w:hAnsiTheme="majorHAnsi"/>
        </w:rPr>
        <w:t xml:space="preserve"> </w:t>
      </w:r>
      <w:r w:rsidR="006943C0">
        <w:rPr>
          <w:rFonts w:asciiTheme="majorHAnsi" w:hAnsiTheme="majorHAnsi"/>
        </w:rPr>
        <w:t xml:space="preserve"> ve výši </w:t>
      </w:r>
      <w:r w:rsidR="006943C0" w:rsidRPr="006943C0">
        <w:rPr>
          <w:rFonts w:asciiTheme="majorHAnsi" w:hAnsiTheme="majorHAnsi"/>
          <w:highlight w:val="green"/>
        </w:rPr>
        <w:t>…………..</w:t>
      </w:r>
      <w:r w:rsidR="006943C0">
        <w:rPr>
          <w:rFonts w:asciiTheme="majorHAnsi" w:hAnsiTheme="majorHAnsi"/>
        </w:rPr>
        <w:t xml:space="preserve"> do 30</w:t>
      </w:r>
      <w:r w:rsidRPr="00DA32A6">
        <w:rPr>
          <w:rFonts w:asciiTheme="majorHAnsi" w:hAnsiTheme="majorHAnsi"/>
        </w:rPr>
        <w:t xml:space="preserve"> dnů od účinnosti této Smlouvy;</w:t>
      </w:r>
    </w:p>
    <w:p w14:paraId="2BC7B053" w14:textId="1FFEDE6D" w:rsidR="002D1187" w:rsidRPr="00DA32A6" w:rsidRDefault="002D1187" w:rsidP="006943C0">
      <w:pPr>
        <w:spacing w:after="0" w:line="240" w:lineRule="auto"/>
        <w:ind w:left="1134"/>
        <w:contextualSpacing/>
        <w:jc w:val="both"/>
        <w:rPr>
          <w:rFonts w:asciiTheme="majorHAnsi" w:hAnsiTheme="majorHAnsi"/>
        </w:rPr>
      </w:pPr>
      <w:r w:rsidRPr="00DA32A6">
        <w:rPr>
          <w:rFonts w:asciiTheme="majorHAnsi" w:hAnsiTheme="majorHAnsi"/>
        </w:rPr>
        <w:t xml:space="preserve">II. splátka </w:t>
      </w:r>
      <w:r w:rsidR="003A302A">
        <w:rPr>
          <w:rFonts w:asciiTheme="majorHAnsi" w:hAnsiTheme="majorHAnsi"/>
        </w:rPr>
        <w:t>(1Q/2021)</w:t>
      </w:r>
      <w:r w:rsidR="006943C0">
        <w:rPr>
          <w:rFonts w:asciiTheme="majorHAnsi" w:hAnsiTheme="majorHAnsi"/>
        </w:rPr>
        <w:t xml:space="preserve">ve výši </w:t>
      </w:r>
      <w:r w:rsidR="00C04F70">
        <w:rPr>
          <w:rFonts w:asciiTheme="majorHAnsi" w:hAnsiTheme="majorHAnsi"/>
        </w:rPr>
        <w:t xml:space="preserve"> </w:t>
      </w:r>
      <w:r w:rsidR="006943C0" w:rsidRPr="006943C0">
        <w:rPr>
          <w:rFonts w:asciiTheme="majorHAnsi" w:hAnsiTheme="majorHAnsi"/>
          <w:highlight w:val="green"/>
        </w:rPr>
        <w:t>…………..</w:t>
      </w:r>
      <w:r w:rsidR="006943C0">
        <w:rPr>
          <w:rFonts w:asciiTheme="majorHAnsi" w:hAnsiTheme="majorHAnsi"/>
        </w:rPr>
        <w:t xml:space="preserve"> do 15.1.2021</w:t>
      </w:r>
      <w:r w:rsidRPr="00DA32A6">
        <w:rPr>
          <w:rFonts w:asciiTheme="majorHAnsi" w:hAnsiTheme="majorHAnsi"/>
        </w:rPr>
        <w:t>;</w:t>
      </w:r>
    </w:p>
    <w:p w14:paraId="26C41A39" w14:textId="52964734" w:rsidR="002D1187" w:rsidRPr="00DA32A6" w:rsidRDefault="002D1187" w:rsidP="006943C0">
      <w:pPr>
        <w:spacing w:after="0" w:line="240" w:lineRule="auto"/>
        <w:ind w:left="1134"/>
        <w:contextualSpacing/>
        <w:jc w:val="both"/>
        <w:rPr>
          <w:rFonts w:asciiTheme="majorHAnsi" w:hAnsiTheme="majorHAnsi"/>
        </w:rPr>
      </w:pPr>
      <w:r w:rsidRPr="00DA32A6">
        <w:rPr>
          <w:rFonts w:asciiTheme="majorHAnsi" w:hAnsiTheme="majorHAnsi"/>
        </w:rPr>
        <w:t xml:space="preserve">III. splátka </w:t>
      </w:r>
      <w:r w:rsidR="003A302A">
        <w:rPr>
          <w:rFonts w:asciiTheme="majorHAnsi" w:hAnsiTheme="majorHAnsi"/>
        </w:rPr>
        <w:t>(2Q/2021)</w:t>
      </w:r>
      <w:r w:rsidR="006943C0">
        <w:rPr>
          <w:rFonts w:asciiTheme="majorHAnsi" w:hAnsiTheme="majorHAnsi"/>
        </w:rPr>
        <w:t xml:space="preserve">ve výši </w:t>
      </w:r>
      <w:r w:rsidR="006943C0" w:rsidRPr="006943C0">
        <w:rPr>
          <w:rFonts w:asciiTheme="majorHAnsi" w:hAnsiTheme="majorHAnsi"/>
          <w:highlight w:val="green"/>
        </w:rPr>
        <w:t>…………..</w:t>
      </w:r>
      <w:r w:rsidR="006943C0">
        <w:rPr>
          <w:rFonts w:asciiTheme="majorHAnsi" w:hAnsiTheme="majorHAnsi"/>
        </w:rPr>
        <w:t xml:space="preserve"> do 15.4.2021</w:t>
      </w:r>
      <w:r w:rsidRPr="00DA32A6">
        <w:rPr>
          <w:rFonts w:asciiTheme="majorHAnsi" w:hAnsiTheme="majorHAnsi"/>
        </w:rPr>
        <w:t>;</w:t>
      </w:r>
    </w:p>
    <w:p w14:paraId="4C2ECDC7" w14:textId="66D5A2E9" w:rsidR="002D1187" w:rsidRDefault="002D1187" w:rsidP="006943C0">
      <w:pPr>
        <w:spacing w:after="0" w:line="240" w:lineRule="auto"/>
        <w:ind w:left="1134"/>
        <w:contextualSpacing/>
        <w:jc w:val="both"/>
        <w:rPr>
          <w:rFonts w:asciiTheme="majorHAnsi" w:hAnsiTheme="majorHAnsi"/>
        </w:rPr>
      </w:pPr>
      <w:r w:rsidRPr="00DA32A6">
        <w:rPr>
          <w:rFonts w:asciiTheme="majorHAnsi" w:hAnsiTheme="majorHAnsi"/>
        </w:rPr>
        <w:t xml:space="preserve">IV. splátka </w:t>
      </w:r>
      <w:r w:rsidR="003A302A">
        <w:rPr>
          <w:rFonts w:asciiTheme="majorHAnsi" w:hAnsiTheme="majorHAnsi"/>
        </w:rPr>
        <w:t>(3Q/2021)</w:t>
      </w:r>
      <w:r w:rsidR="006943C0">
        <w:rPr>
          <w:rFonts w:asciiTheme="majorHAnsi" w:hAnsiTheme="majorHAnsi"/>
        </w:rPr>
        <w:t xml:space="preserve">ve výši </w:t>
      </w:r>
      <w:r w:rsidR="006943C0" w:rsidRPr="006943C0">
        <w:rPr>
          <w:rFonts w:asciiTheme="majorHAnsi" w:hAnsiTheme="majorHAnsi"/>
          <w:highlight w:val="green"/>
        </w:rPr>
        <w:t>…………..</w:t>
      </w:r>
      <w:r w:rsidR="006943C0">
        <w:rPr>
          <w:rFonts w:asciiTheme="majorHAnsi" w:hAnsiTheme="majorHAnsi"/>
        </w:rPr>
        <w:t xml:space="preserve"> do 15.7.2021.</w:t>
      </w:r>
    </w:p>
    <w:p w14:paraId="40221681" w14:textId="77777777" w:rsidR="00041011" w:rsidRDefault="006943C0" w:rsidP="00041011">
      <w:pPr>
        <w:spacing w:after="0" w:line="240" w:lineRule="auto"/>
        <w:ind w:firstLine="709"/>
        <w:contextualSpacing/>
        <w:jc w:val="both"/>
        <w:rPr>
          <w:rFonts w:asciiTheme="majorHAnsi" w:hAnsiTheme="majorHAnsi"/>
        </w:rPr>
      </w:pPr>
      <w:r>
        <w:rPr>
          <w:rFonts w:asciiTheme="majorHAnsi" w:hAnsiTheme="majorHAnsi"/>
        </w:rPr>
        <w:t>b) fakturace za termínované licence –</w:t>
      </w:r>
    </w:p>
    <w:p w14:paraId="341CB5FC" w14:textId="1273EA51" w:rsidR="002D1187" w:rsidRPr="00DA32A6" w:rsidRDefault="002D1187" w:rsidP="00C04F70">
      <w:pPr>
        <w:spacing w:after="0" w:line="240" w:lineRule="auto"/>
        <w:ind w:left="851"/>
        <w:contextualSpacing/>
        <w:jc w:val="both"/>
        <w:rPr>
          <w:rFonts w:asciiTheme="majorHAnsi" w:hAnsiTheme="majorHAnsi"/>
        </w:rPr>
      </w:pPr>
      <w:r w:rsidRPr="00DA32A6">
        <w:rPr>
          <w:rFonts w:asciiTheme="majorHAnsi" w:hAnsiTheme="majorHAnsi"/>
        </w:rPr>
        <w:t xml:space="preserve">Cenu za překročení počtu nasmlouvaných licencí dle čl. </w:t>
      </w:r>
      <w:r w:rsidR="00041011">
        <w:rPr>
          <w:rFonts w:asciiTheme="majorHAnsi" w:hAnsiTheme="majorHAnsi"/>
        </w:rPr>
        <w:t>1.2</w:t>
      </w:r>
      <w:r w:rsidRPr="00DA32A6">
        <w:rPr>
          <w:rFonts w:asciiTheme="majorHAnsi" w:hAnsiTheme="majorHAnsi"/>
        </w:rPr>
        <w:t xml:space="preserve"> této Smlouvy, a to až do výše </w:t>
      </w:r>
      <w:r w:rsidR="00F969D7">
        <w:rPr>
          <w:rFonts w:asciiTheme="majorHAnsi" w:hAnsiTheme="majorHAnsi"/>
        </w:rPr>
        <w:t>1.000.000,-</w:t>
      </w:r>
      <w:r w:rsidRPr="00DA32A6">
        <w:rPr>
          <w:rFonts w:asciiTheme="majorHAnsi" w:hAnsiTheme="majorHAnsi"/>
        </w:rPr>
        <w:t xml:space="preserve"> Kč bez DPH v souhrnu za celé období trvání této Smlouvy, může Poskytovatel po Objednateli požadovat pouze v případě skutečného využití služeb vymezených v bodě </w:t>
      </w:r>
      <w:r w:rsidR="00041011">
        <w:rPr>
          <w:rFonts w:asciiTheme="majorHAnsi" w:hAnsiTheme="majorHAnsi"/>
        </w:rPr>
        <w:t>1.2 a příloze č. 1</w:t>
      </w:r>
      <w:r w:rsidRPr="00DA32A6">
        <w:rPr>
          <w:rFonts w:asciiTheme="majorHAnsi" w:hAnsiTheme="majorHAnsi"/>
        </w:rPr>
        <w:t xml:space="preserve"> této Smlouvy, pouze do výše skutečně</w:t>
      </w:r>
      <w:r w:rsidR="00041011">
        <w:rPr>
          <w:rFonts w:asciiTheme="majorHAnsi" w:hAnsiTheme="majorHAnsi"/>
        </w:rPr>
        <w:t xml:space="preserve"> vyčerpaných licencí</w:t>
      </w:r>
      <w:r w:rsidRPr="00DA32A6">
        <w:rPr>
          <w:rFonts w:asciiTheme="majorHAnsi" w:hAnsiTheme="majorHAnsi"/>
        </w:rPr>
        <w:t>, a to na základě prokázání nadužívání počtu těchto licencí, formou protokolu nebo jiného výpisu o využívání licencí za určité časové období. Platba za nadužívání licencí bude provedena vždy v následujícím kvar</w:t>
      </w:r>
      <w:r w:rsidR="00C04F70">
        <w:rPr>
          <w:rFonts w:asciiTheme="majorHAnsi" w:hAnsiTheme="majorHAnsi"/>
        </w:rPr>
        <w:t xml:space="preserve">tálním období, ve kterém došlo </w:t>
      </w:r>
      <w:r w:rsidRPr="00DA32A6">
        <w:rPr>
          <w:rFonts w:asciiTheme="majorHAnsi" w:hAnsiTheme="majorHAnsi"/>
        </w:rPr>
        <w:t>k nadužívání licence v termínech odpovídajícím II</w:t>
      </w:r>
      <w:r w:rsidR="006943C0">
        <w:rPr>
          <w:rFonts w:asciiTheme="majorHAnsi" w:hAnsiTheme="majorHAnsi"/>
        </w:rPr>
        <w:t xml:space="preserve">., III. a IV. splátce dle bodu </w:t>
      </w:r>
      <w:r w:rsidR="005C24C9">
        <w:rPr>
          <w:rFonts w:asciiTheme="majorHAnsi" w:hAnsiTheme="majorHAnsi"/>
        </w:rPr>
        <w:t>5</w:t>
      </w:r>
      <w:r w:rsidR="006943C0">
        <w:rPr>
          <w:rFonts w:asciiTheme="majorHAnsi" w:hAnsiTheme="majorHAnsi"/>
        </w:rPr>
        <w:t xml:space="preserve">.4 této Smlouvy, </w:t>
      </w:r>
      <w:r w:rsidRPr="00DA32A6">
        <w:rPr>
          <w:rFonts w:asciiTheme="majorHAnsi" w:hAnsiTheme="majorHAnsi"/>
        </w:rPr>
        <w:t>na základě fakturace provedené Poskytovatelem</w:t>
      </w:r>
      <w:r w:rsidR="005C24C9">
        <w:rPr>
          <w:rFonts w:asciiTheme="majorHAnsi" w:hAnsiTheme="majorHAnsi"/>
        </w:rPr>
        <w:t>.</w:t>
      </w:r>
      <w:r w:rsidRPr="00DA32A6">
        <w:rPr>
          <w:rFonts w:asciiTheme="majorHAnsi" w:hAnsiTheme="majorHAnsi"/>
        </w:rPr>
        <w:t xml:space="preserve"> </w:t>
      </w:r>
      <w:r w:rsidR="005C24C9">
        <w:rPr>
          <w:rFonts w:asciiTheme="majorHAnsi" w:hAnsiTheme="majorHAnsi"/>
        </w:rPr>
        <w:t>P</w:t>
      </w:r>
      <w:r w:rsidRPr="00DA32A6">
        <w:rPr>
          <w:rFonts w:asciiTheme="majorHAnsi" w:hAnsiTheme="majorHAnsi"/>
        </w:rPr>
        <w:t xml:space="preserve">latba </w:t>
      </w:r>
      <w:r w:rsidR="006943C0">
        <w:rPr>
          <w:rFonts w:asciiTheme="majorHAnsi" w:hAnsiTheme="majorHAnsi"/>
        </w:rPr>
        <w:t xml:space="preserve">za případné nadužívání licence </w:t>
      </w:r>
      <w:r w:rsidR="003A302A">
        <w:rPr>
          <w:rFonts w:asciiTheme="majorHAnsi" w:hAnsiTheme="majorHAnsi"/>
        </w:rPr>
        <w:t>v 3Q/2021</w:t>
      </w:r>
      <w:r w:rsidRPr="00DA32A6">
        <w:rPr>
          <w:rFonts w:asciiTheme="majorHAnsi" w:hAnsiTheme="majorHAnsi"/>
        </w:rPr>
        <w:t xml:space="preserve"> bude provedena do 14 dnů od skončení poskytování služeb na základě této Smlouvy.</w:t>
      </w:r>
    </w:p>
    <w:p w14:paraId="5B0FC599" w14:textId="5E1BB2B3" w:rsidR="00897C2C" w:rsidRPr="00C04F70" w:rsidRDefault="00897C2C" w:rsidP="00ED7F5D">
      <w:pPr>
        <w:pStyle w:val="Clanek11"/>
        <w:widowControl/>
        <w:numPr>
          <w:ilvl w:val="1"/>
          <w:numId w:val="4"/>
        </w:numPr>
        <w:ind w:left="709" w:hanging="709"/>
        <w:jc w:val="left"/>
        <w:rPr>
          <w:rFonts w:asciiTheme="majorHAnsi" w:hAnsiTheme="majorHAnsi"/>
          <w:sz w:val="18"/>
          <w:szCs w:val="18"/>
        </w:rPr>
      </w:pPr>
      <w:bookmarkStart w:id="18" w:name="_Hlk27391226"/>
      <w:r w:rsidRPr="00C51FEE">
        <w:rPr>
          <w:rFonts w:asciiTheme="majorHAnsi" w:hAnsiTheme="majorHAnsi"/>
          <w:sz w:val="18"/>
          <w:szCs w:val="18"/>
        </w:rPr>
        <w:t>Cena je výslovně sjednávána jako nejvyšší možná a nepřekročitelná.</w:t>
      </w:r>
      <w:bookmarkEnd w:id="18"/>
    </w:p>
    <w:p w14:paraId="6883F5DB" w14:textId="3DD0E1E9" w:rsidR="00897C2C" w:rsidRPr="002109F9" w:rsidRDefault="00897C2C" w:rsidP="002109F9">
      <w:pPr>
        <w:pStyle w:val="Nadpis4"/>
      </w:pPr>
      <w:r w:rsidRPr="0088024C">
        <w:t>Práva duševního vlastnictví</w:t>
      </w:r>
    </w:p>
    <w:p w14:paraId="5B0D5C81" w14:textId="45BDC929" w:rsidR="00AE3EBB" w:rsidRPr="002D1187" w:rsidRDefault="00897C2C" w:rsidP="00ED7F5D">
      <w:pPr>
        <w:pStyle w:val="Clanek11"/>
        <w:widowControl/>
        <w:numPr>
          <w:ilvl w:val="1"/>
          <w:numId w:val="4"/>
        </w:numPr>
        <w:ind w:left="709" w:hanging="709"/>
        <w:jc w:val="left"/>
        <w:rPr>
          <w:rFonts w:asciiTheme="majorHAnsi" w:hAnsiTheme="majorHAnsi"/>
          <w:sz w:val="18"/>
          <w:szCs w:val="18"/>
        </w:rPr>
      </w:pPr>
      <w:r w:rsidRPr="002109F9">
        <w:rPr>
          <w:rFonts w:asciiTheme="majorHAnsi" w:hAnsiTheme="majorHAnsi"/>
          <w:sz w:val="18"/>
          <w:szCs w:val="18"/>
        </w:rPr>
        <w:t xml:space="preserve">Pro </w:t>
      </w:r>
      <w:r w:rsidR="00DB3B77" w:rsidRPr="002109F9">
        <w:rPr>
          <w:rFonts w:asciiTheme="majorHAnsi" w:hAnsiTheme="majorHAnsi"/>
          <w:sz w:val="18"/>
          <w:szCs w:val="18"/>
        </w:rPr>
        <w:t xml:space="preserve">Standardní </w:t>
      </w:r>
      <w:r w:rsidRPr="002109F9">
        <w:rPr>
          <w:rFonts w:asciiTheme="majorHAnsi" w:hAnsiTheme="majorHAnsi"/>
          <w:sz w:val="18"/>
          <w:szCs w:val="18"/>
        </w:rPr>
        <w:t>Software</w:t>
      </w:r>
      <w:r w:rsidR="00131169">
        <w:rPr>
          <w:rFonts w:asciiTheme="majorHAnsi" w:hAnsiTheme="majorHAnsi"/>
          <w:sz w:val="18"/>
          <w:szCs w:val="18"/>
        </w:rPr>
        <w:t>, který je Předmětem subskri</w:t>
      </w:r>
      <w:r w:rsidR="00162D7B" w:rsidRPr="002109F9">
        <w:rPr>
          <w:rFonts w:asciiTheme="majorHAnsi" w:hAnsiTheme="majorHAnsi"/>
          <w:sz w:val="18"/>
          <w:szCs w:val="18"/>
        </w:rPr>
        <w:t>pce,</w:t>
      </w:r>
      <w:r w:rsidRPr="002109F9">
        <w:rPr>
          <w:rFonts w:asciiTheme="majorHAnsi" w:hAnsiTheme="majorHAnsi"/>
          <w:sz w:val="18"/>
          <w:szCs w:val="18"/>
        </w:rPr>
        <w:t xml:space="preserve"> </w:t>
      </w:r>
      <w:r w:rsidRPr="002D1187">
        <w:rPr>
          <w:rFonts w:asciiTheme="majorHAnsi" w:hAnsiTheme="majorHAnsi"/>
          <w:sz w:val="18"/>
          <w:szCs w:val="18"/>
        </w:rPr>
        <w:t>platí článek 6.</w:t>
      </w:r>
      <w:r w:rsidR="00B40D56" w:rsidRPr="002D1187">
        <w:rPr>
          <w:rFonts w:asciiTheme="majorHAnsi" w:hAnsiTheme="majorHAnsi"/>
          <w:sz w:val="18"/>
          <w:szCs w:val="18"/>
        </w:rPr>
        <w:t>2</w:t>
      </w:r>
      <w:r w:rsidRPr="002D1187">
        <w:rPr>
          <w:rFonts w:asciiTheme="majorHAnsi" w:hAnsiTheme="majorHAnsi"/>
          <w:sz w:val="18"/>
          <w:szCs w:val="18"/>
        </w:rPr>
        <w:t xml:space="preserve">. </w:t>
      </w:r>
      <w:r w:rsidR="002D1187" w:rsidRPr="002D1187">
        <w:rPr>
          <w:rFonts w:asciiTheme="majorHAnsi" w:hAnsiTheme="majorHAnsi"/>
          <w:sz w:val="18"/>
          <w:szCs w:val="18"/>
        </w:rPr>
        <w:t>Přílohy č. 2</w:t>
      </w:r>
      <w:r w:rsidR="004B124B" w:rsidRPr="002D1187">
        <w:rPr>
          <w:rFonts w:asciiTheme="majorHAnsi" w:hAnsiTheme="majorHAnsi"/>
          <w:sz w:val="18"/>
          <w:szCs w:val="18"/>
        </w:rPr>
        <w:t xml:space="preserve"> Zvláštní obchodní podmínky.</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7B3178E0" w:rsidR="00897C2C" w:rsidRPr="002D1187" w:rsidRDefault="00162D7B" w:rsidP="00ED7F5D">
      <w:pPr>
        <w:pStyle w:val="Clanek11"/>
        <w:widowControl/>
        <w:numPr>
          <w:ilvl w:val="1"/>
          <w:numId w:val="4"/>
        </w:numPr>
        <w:ind w:left="709" w:hanging="709"/>
        <w:jc w:val="left"/>
        <w:rPr>
          <w:rFonts w:asciiTheme="majorHAnsi" w:hAnsiTheme="majorHAnsi"/>
          <w:sz w:val="18"/>
          <w:szCs w:val="18"/>
        </w:rPr>
      </w:pPr>
      <w:r w:rsidRPr="002D1187">
        <w:rPr>
          <w:rFonts w:asciiTheme="majorHAnsi" w:hAnsiTheme="majorHAnsi"/>
          <w:sz w:val="18"/>
          <w:szCs w:val="18"/>
        </w:rPr>
        <w:t>Poskytovatel</w:t>
      </w:r>
      <w:r w:rsidR="00897C2C" w:rsidRPr="002D1187">
        <w:rPr>
          <w:rFonts w:asciiTheme="majorHAnsi" w:hAnsiTheme="majorHAnsi"/>
          <w:sz w:val="18"/>
          <w:szCs w:val="18"/>
        </w:rPr>
        <w:t xml:space="preserve"> bude poskytovat </w:t>
      </w:r>
      <w:r w:rsidR="00B17914" w:rsidRPr="002D1187">
        <w:rPr>
          <w:rFonts w:asciiTheme="majorHAnsi" w:hAnsiTheme="majorHAnsi"/>
          <w:sz w:val="18"/>
          <w:szCs w:val="18"/>
        </w:rPr>
        <w:t>Helpd</w:t>
      </w:r>
      <w:r w:rsidR="00645940" w:rsidRPr="002D1187">
        <w:rPr>
          <w:rFonts w:asciiTheme="majorHAnsi" w:hAnsiTheme="majorHAnsi"/>
          <w:sz w:val="18"/>
          <w:szCs w:val="18"/>
        </w:rPr>
        <w:t xml:space="preserve">esk v režimu </w:t>
      </w:r>
      <w:r w:rsidR="00897C2C" w:rsidRPr="002D1187">
        <w:rPr>
          <w:rFonts w:asciiTheme="majorHAnsi" w:hAnsiTheme="majorHAnsi"/>
          <w:sz w:val="18"/>
          <w:szCs w:val="18"/>
        </w:rPr>
        <w:t>3</w:t>
      </w:r>
      <w:r w:rsidR="00645940" w:rsidRPr="002D1187">
        <w:rPr>
          <w:rFonts w:asciiTheme="majorHAnsi" w:hAnsiTheme="majorHAnsi"/>
          <w:sz w:val="18"/>
          <w:szCs w:val="18"/>
        </w:rPr>
        <w:t xml:space="preserve"> </w:t>
      </w:r>
      <w:r w:rsidR="00897C2C" w:rsidRPr="002D1187">
        <w:rPr>
          <w:rFonts w:asciiTheme="majorHAnsi" w:hAnsiTheme="majorHAnsi"/>
          <w:sz w:val="18"/>
          <w:szCs w:val="18"/>
        </w:rPr>
        <w:t xml:space="preserve">ve smyslu čl. 10.1.1. </w:t>
      </w:r>
      <w:r w:rsidR="002D1187" w:rsidRPr="002D1187">
        <w:rPr>
          <w:rFonts w:asciiTheme="majorHAnsi" w:hAnsiTheme="majorHAnsi"/>
          <w:sz w:val="18"/>
          <w:szCs w:val="18"/>
        </w:rPr>
        <w:t>Přílohy č. 2</w:t>
      </w:r>
      <w:r w:rsidR="004B124B" w:rsidRPr="002D1187">
        <w:rPr>
          <w:rFonts w:asciiTheme="majorHAnsi" w:hAnsiTheme="majorHAnsi"/>
          <w:sz w:val="18"/>
          <w:szCs w:val="18"/>
        </w:rPr>
        <w:t xml:space="preserve"> </w:t>
      </w:r>
      <w:r w:rsidR="00897C2C" w:rsidRPr="002D1187">
        <w:rPr>
          <w:rFonts w:asciiTheme="majorHAnsi" w:hAnsiTheme="majorHAnsi"/>
          <w:sz w:val="18"/>
          <w:szCs w:val="18"/>
        </w:rPr>
        <w:t>Zvláštní</w:t>
      </w:r>
      <w:r w:rsidR="004B124B" w:rsidRPr="002D1187">
        <w:rPr>
          <w:rFonts w:asciiTheme="majorHAnsi" w:hAnsiTheme="majorHAnsi"/>
          <w:sz w:val="18"/>
          <w:szCs w:val="18"/>
        </w:rPr>
        <w:t xml:space="preserve"> </w:t>
      </w:r>
      <w:r w:rsidR="00897C2C" w:rsidRPr="002D1187">
        <w:rPr>
          <w:rFonts w:asciiTheme="majorHAnsi" w:hAnsiTheme="majorHAnsi"/>
          <w:sz w:val="18"/>
          <w:szCs w:val="18"/>
        </w:rPr>
        <w:t>obchodní podmín</w:t>
      </w:r>
      <w:r w:rsidR="004B124B" w:rsidRPr="002D1187">
        <w:rPr>
          <w:rFonts w:asciiTheme="majorHAnsi" w:hAnsiTheme="majorHAnsi"/>
          <w:sz w:val="18"/>
          <w:szCs w:val="18"/>
        </w:rPr>
        <w:t>ky</w:t>
      </w:r>
      <w:r w:rsidR="00897C2C" w:rsidRPr="002D1187">
        <w:rPr>
          <w:rFonts w:asciiTheme="majorHAnsi" w:hAnsiTheme="majorHAnsi"/>
          <w:sz w:val="18"/>
          <w:szCs w:val="18"/>
        </w:rPr>
        <w:t>.</w:t>
      </w:r>
    </w:p>
    <w:p w14:paraId="6D5CC38E" w14:textId="6190D754" w:rsidR="00897C2C" w:rsidRPr="002D1187" w:rsidRDefault="00162D7B" w:rsidP="00ED7F5D">
      <w:pPr>
        <w:pStyle w:val="Clanek11"/>
        <w:widowControl/>
        <w:numPr>
          <w:ilvl w:val="1"/>
          <w:numId w:val="4"/>
        </w:numPr>
        <w:ind w:left="709" w:hanging="709"/>
        <w:jc w:val="left"/>
        <w:rPr>
          <w:rFonts w:asciiTheme="majorHAnsi" w:hAnsiTheme="majorHAnsi"/>
          <w:sz w:val="18"/>
          <w:szCs w:val="18"/>
        </w:rPr>
      </w:pPr>
      <w:r w:rsidRPr="002D1187">
        <w:rPr>
          <w:rFonts w:asciiTheme="majorHAnsi" w:hAnsiTheme="majorHAnsi"/>
          <w:sz w:val="18"/>
          <w:szCs w:val="18"/>
        </w:rPr>
        <w:t xml:space="preserve">Poskytovatel </w:t>
      </w:r>
      <w:r w:rsidR="00897C2C" w:rsidRPr="002D1187">
        <w:rPr>
          <w:rFonts w:asciiTheme="majorHAnsi" w:hAnsiTheme="majorHAnsi"/>
          <w:sz w:val="18"/>
          <w:szCs w:val="18"/>
        </w:rPr>
        <w:t xml:space="preserve">bude provozovat </w:t>
      </w:r>
      <w:r w:rsidR="00B17914" w:rsidRPr="002D1187">
        <w:rPr>
          <w:rFonts w:asciiTheme="majorHAnsi" w:hAnsiTheme="majorHAnsi"/>
          <w:sz w:val="18"/>
          <w:szCs w:val="18"/>
        </w:rPr>
        <w:t>Helpd</w:t>
      </w:r>
      <w:r w:rsidR="00645940" w:rsidRPr="002D1187">
        <w:rPr>
          <w:rFonts w:asciiTheme="majorHAnsi" w:hAnsiTheme="majorHAnsi"/>
          <w:sz w:val="18"/>
          <w:szCs w:val="18"/>
        </w:rPr>
        <w:t xml:space="preserve">esk v úrovni </w:t>
      </w:r>
      <w:r w:rsidR="00897C2C" w:rsidRPr="002D1187">
        <w:rPr>
          <w:rFonts w:asciiTheme="majorHAnsi" w:hAnsiTheme="majorHAnsi"/>
          <w:sz w:val="18"/>
          <w:szCs w:val="18"/>
        </w:rPr>
        <w:t>L1</w:t>
      </w:r>
      <w:r w:rsidR="00645940" w:rsidRPr="002D1187">
        <w:rPr>
          <w:rFonts w:asciiTheme="majorHAnsi" w:hAnsiTheme="majorHAnsi"/>
          <w:sz w:val="18"/>
          <w:szCs w:val="18"/>
        </w:rPr>
        <w:t xml:space="preserve"> </w:t>
      </w:r>
      <w:r w:rsidR="00897C2C" w:rsidRPr="002D1187">
        <w:rPr>
          <w:rFonts w:asciiTheme="majorHAnsi" w:hAnsiTheme="majorHAnsi"/>
          <w:sz w:val="18"/>
          <w:szCs w:val="18"/>
        </w:rPr>
        <w:t>ve smyslu č</w:t>
      </w:r>
      <w:r w:rsidR="00E659BE" w:rsidRPr="002D1187">
        <w:rPr>
          <w:rFonts w:asciiTheme="majorHAnsi" w:hAnsiTheme="majorHAnsi"/>
          <w:sz w:val="18"/>
          <w:szCs w:val="18"/>
        </w:rPr>
        <w:t>l</w:t>
      </w:r>
      <w:r w:rsidR="00897C2C" w:rsidRPr="002D1187">
        <w:rPr>
          <w:rFonts w:asciiTheme="majorHAnsi" w:hAnsiTheme="majorHAnsi"/>
          <w:sz w:val="18"/>
          <w:szCs w:val="18"/>
        </w:rPr>
        <w:t xml:space="preserve">. 10.1.4. </w:t>
      </w:r>
      <w:r w:rsidR="002D1187" w:rsidRPr="002D1187">
        <w:rPr>
          <w:rFonts w:asciiTheme="majorHAnsi" w:hAnsiTheme="majorHAnsi"/>
          <w:sz w:val="18"/>
          <w:szCs w:val="18"/>
        </w:rPr>
        <w:t>Přílohy č. 2</w:t>
      </w:r>
      <w:r w:rsidR="004B124B" w:rsidRPr="002D1187">
        <w:rPr>
          <w:rFonts w:asciiTheme="majorHAnsi" w:hAnsiTheme="majorHAnsi"/>
          <w:sz w:val="18"/>
          <w:szCs w:val="18"/>
        </w:rPr>
        <w:t xml:space="preserve"> Zvláštní obchodní podmínky.</w:t>
      </w:r>
    </w:p>
    <w:p w14:paraId="1AC71640" w14:textId="77777777" w:rsidR="00897C2C" w:rsidRPr="009A1CA4" w:rsidRDefault="00897C2C" w:rsidP="00C51FEE">
      <w:pPr>
        <w:pStyle w:val="Nadpis4"/>
        <w:rPr>
          <w:noProof/>
        </w:rPr>
      </w:pPr>
      <w:r w:rsidRPr="009A1CA4">
        <w:rPr>
          <w:noProof/>
        </w:rPr>
        <w:t>Servisní model</w:t>
      </w:r>
    </w:p>
    <w:p w14:paraId="2D4493D0" w14:textId="4C89BC8E" w:rsidR="00897C2C" w:rsidRPr="002109F9" w:rsidRDefault="00AD7CF1" w:rsidP="00ED7F5D">
      <w:pPr>
        <w:pStyle w:val="Clanek11"/>
        <w:widowControl/>
        <w:numPr>
          <w:ilvl w:val="1"/>
          <w:numId w:val="4"/>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servisní model v </w:t>
      </w:r>
      <w:r w:rsidR="00897C2C" w:rsidRPr="00645940">
        <w:rPr>
          <w:rFonts w:asciiTheme="majorHAnsi" w:hAnsiTheme="majorHAnsi"/>
          <w:sz w:val="18"/>
          <w:szCs w:val="18"/>
        </w:rPr>
        <w:t>režimu C1 ve</w:t>
      </w:r>
      <w:r w:rsidR="00897C2C" w:rsidRPr="002109F9">
        <w:rPr>
          <w:rFonts w:asciiTheme="majorHAnsi" w:hAnsiTheme="majorHAnsi"/>
          <w:sz w:val="18"/>
          <w:szCs w:val="18"/>
        </w:rPr>
        <w:t xml:space="preserve"> smyslu čl. 12.1.2. </w:t>
      </w:r>
      <w:r w:rsidR="002D1187" w:rsidRPr="002D1187">
        <w:rPr>
          <w:rFonts w:asciiTheme="majorHAnsi" w:hAnsiTheme="majorHAnsi"/>
          <w:sz w:val="18"/>
          <w:szCs w:val="18"/>
        </w:rPr>
        <w:t>Přílohy č. 2</w:t>
      </w:r>
      <w:r w:rsidR="004B124B" w:rsidRPr="002D1187">
        <w:rPr>
          <w:rFonts w:asciiTheme="majorHAnsi" w:hAnsiTheme="majorHAnsi"/>
          <w:sz w:val="18"/>
          <w:szCs w:val="18"/>
        </w:rPr>
        <w:t xml:space="preserve"> Zvláštní</w:t>
      </w:r>
      <w:r w:rsidR="004B124B" w:rsidRPr="002109F9">
        <w:rPr>
          <w:rFonts w:asciiTheme="majorHAnsi" w:hAnsiTheme="majorHAnsi"/>
          <w:sz w:val="18"/>
          <w:szCs w:val="18"/>
        </w:rPr>
        <w:t xml:space="preserve"> obchodní podmínky.</w:t>
      </w:r>
    </w:p>
    <w:p w14:paraId="4BDFC8E5" w14:textId="77777777" w:rsidR="00897C2C" w:rsidRPr="00645940" w:rsidRDefault="00897C2C" w:rsidP="00C51FEE">
      <w:pPr>
        <w:pStyle w:val="Nadpis4"/>
        <w:rPr>
          <w:noProof/>
        </w:rPr>
      </w:pPr>
      <w:r w:rsidRPr="00645940">
        <w:rPr>
          <w:noProof/>
        </w:rPr>
        <w:lastRenderedPageBreak/>
        <w:t>Ochrana osobních údajů</w:t>
      </w:r>
    </w:p>
    <w:p w14:paraId="28929832" w14:textId="7F35EA30" w:rsidR="00897C2C" w:rsidRPr="00890C13" w:rsidRDefault="00897C2C" w:rsidP="00ED7F5D">
      <w:pPr>
        <w:pStyle w:val="Clanek11"/>
        <w:widowControl/>
        <w:numPr>
          <w:ilvl w:val="1"/>
          <w:numId w:val="4"/>
        </w:numPr>
        <w:ind w:left="709" w:hanging="709"/>
        <w:jc w:val="left"/>
        <w:rPr>
          <w:rFonts w:asciiTheme="majorHAnsi" w:hAnsiTheme="majorHAnsi"/>
          <w:sz w:val="18"/>
          <w:szCs w:val="18"/>
        </w:rPr>
      </w:pPr>
      <w:r w:rsidRPr="002109F9">
        <w:rPr>
          <w:rFonts w:asciiTheme="majorHAnsi" w:hAnsiTheme="majorHAnsi"/>
          <w:sz w:val="18"/>
          <w:szCs w:val="18"/>
        </w:rPr>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w:t>
      </w:r>
      <w:r w:rsidRPr="002D1187">
        <w:rPr>
          <w:rFonts w:asciiTheme="majorHAnsi" w:hAnsiTheme="majorHAnsi"/>
          <w:sz w:val="18"/>
          <w:szCs w:val="18"/>
        </w:rPr>
        <w:t>2</w:t>
      </w:r>
      <w:r w:rsidR="00162D7B" w:rsidRPr="002D1187">
        <w:rPr>
          <w:rFonts w:asciiTheme="majorHAnsi" w:hAnsiTheme="majorHAnsi"/>
          <w:sz w:val="18"/>
          <w:szCs w:val="18"/>
        </w:rPr>
        <w:t>1</w:t>
      </w:r>
      <w:r w:rsidRPr="002D1187">
        <w:rPr>
          <w:rFonts w:asciiTheme="majorHAnsi" w:hAnsiTheme="majorHAnsi"/>
          <w:sz w:val="18"/>
          <w:szCs w:val="18"/>
        </w:rPr>
        <w:t xml:space="preserve">. </w:t>
      </w:r>
      <w:r w:rsidR="004B124B" w:rsidRPr="002D1187">
        <w:rPr>
          <w:rFonts w:asciiTheme="majorHAnsi" w:hAnsiTheme="majorHAnsi"/>
          <w:sz w:val="18"/>
          <w:szCs w:val="18"/>
        </w:rPr>
        <w:t xml:space="preserve">Přílohy č. </w:t>
      </w:r>
      <w:r w:rsidR="002D1187" w:rsidRPr="002D1187">
        <w:rPr>
          <w:rFonts w:asciiTheme="majorHAnsi" w:hAnsiTheme="majorHAnsi"/>
          <w:sz w:val="18"/>
          <w:szCs w:val="18"/>
        </w:rPr>
        <w:t>2</w:t>
      </w:r>
      <w:r w:rsidR="004B124B" w:rsidRPr="002D1187">
        <w:rPr>
          <w:rFonts w:asciiTheme="majorHAnsi" w:hAnsiTheme="majorHAnsi"/>
          <w:sz w:val="18"/>
          <w:szCs w:val="18"/>
        </w:rPr>
        <w:t xml:space="preserve"> Zvláštní</w:t>
      </w:r>
      <w:r w:rsidR="004B124B" w:rsidRPr="002109F9">
        <w:rPr>
          <w:rFonts w:asciiTheme="majorHAnsi" w:hAnsiTheme="majorHAnsi"/>
          <w:sz w:val="18"/>
          <w:szCs w:val="18"/>
        </w:rPr>
        <w:t xml:space="preserve"> obchodní podmínky.</w:t>
      </w:r>
    </w:p>
    <w:p w14:paraId="1AE585E4" w14:textId="77777777"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ED7F5D">
      <w:pPr>
        <w:pStyle w:val="Clanek11"/>
        <w:widowControl/>
        <w:numPr>
          <w:ilvl w:val="1"/>
          <w:numId w:val="4"/>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Pr="00F96FA1" w:rsidRDefault="00897C2C" w:rsidP="00ED7F5D">
      <w:pPr>
        <w:pStyle w:val="Clanek11"/>
        <w:widowControl/>
        <w:numPr>
          <w:ilvl w:val="1"/>
          <w:numId w:val="4"/>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24C0400B" w14:textId="1336E9D2" w:rsidR="00254B31" w:rsidRDefault="00E66AF9" w:rsidP="00ED7F5D">
      <w:pPr>
        <w:pStyle w:val="Clanek11"/>
        <w:widowControl/>
        <w:numPr>
          <w:ilvl w:val="1"/>
          <w:numId w:val="4"/>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r w:rsidR="00347C87">
        <w:rPr>
          <w:rFonts w:asciiTheme="minorHAnsi" w:hAnsiTheme="minorHAnsi"/>
          <w:sz w:val="18"/>
          <w:szCs w:val="18"/>
        </w:rPr>
        <w:t xml:space="preserve"> Smlouva nenabude účinnosti dříve než 1.10.2020.</w:t>
      </w:r>
    </w:p>
    <w:p w14:paraId="1ABFFC99" w14:textId="629B9B5A" w:rsidR="00254B31" w:rsidRDefault="00254B31" w:rsidP="00ED7F5D">
      <w:pPr>
        <w:pStyle w:val="Clanek11"/>
        <w:widowControl/>
        <w:numPr>
          <w:ilvl w:val="1"/>
          <w:numId w:val="4"/>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ED7F5D">
      <w:pPr>
        <w:pStyle w:val="Clanek11"/>
        <w:widowControl/>
        <w:numPr>
          <w:ilvl w:val="1"/>
          <w:numId w:val="4"/>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ED7F5D">
      <w:pPr>
        <w:pStyle w:val="Clanek11"/>
        <w:widowControl/>
        <w:numPr>
          <w:ilvl w:val="1"/>
          <w:numId w:val="4"/>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ED7F5D">
      <w:pPr>
        <w:pStyle w:val="Clanek11"/>
        <w:widowControl/>
        <w:numPr>
          <w:ilvl w:val="1"/>
          <w:numId w:val="4"/>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ED7F5D">
      <w:pPr>
        <w:pStyle w:val="Clanek11"/>
        <w:widowControl/>
        <w:numPr>
          <w:ilvl w:val="1"/>
          <w:numId w:val="4"/>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11987B42" w:rsidR="00890C13" w:rsidRDefault="00254B31" w:rsidP="00ED7F5D">
      <w:pPr>
        <w:pStyle w:val="Clanek11"/>
        <w:widowControl/>
        <w:numPr>
          <w:ilvl w:val="1"/>
          <w:numId w:val="4"/>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4ABCE91E" w14:textId="4DCE8CF9" w:rsidR="00E661B4" w:rsidRDefault="00E661B4" w:rsidP="00E661B4"/>
    <w:p w14:paraId="7BFA0858" w14:textId="16BF0F92" w:rsidR="004B124B" w:rsidRPr="00890C13" w:rsidRDefault="00897C2C" w:rsidP="00ED7F5D">
      <w:pPr>
        <w:pStyle w:val="Odstavecseseznamem"/>
        <w:numPr>
          <w:ilvl w:val="1"/>
          <w:numId w:val="4"/>
        </w:numPr>
        <w:spacing w:after="120" w:line="276" w:lineRule="auto"/>
        <w:ind w:left="0" w:firstLine="0"/>
        <w:contextualSpacing w:val="0"/>
        <w:rPr>
          <w:rFonts w:asciiTheme="majorHAnsi" w:hAnsiTheme="majorHAnsi"/>
        </w:rPr>
      </w:pPr>
      <w:r w:rsidRPr="009A1CA4">
        <w:rPr>
          <w:rFonts w:asciiTheme="majorHAnsi" w:hAnsiTheme="majorHAnsi"/>
        </w:rPr>
        <w:lastRenderedPageBreak/>
        <w:t>Nedílnou součástí této Smlouvy jsou její přílohy:</w:t>
      </w:r>
    </w:p>
    <w:p w14:paraId="0C837372" w14:textId="47F417BF" w:rsidR="00897C2C" w:rsidRDefault="002D1187" w:rsidP="00715D00">
      <w:pPr>
        <w:spacing w:after="0" w:line="276" w:lineRule="auto"/>
        <w:rPr>
          <w:rFonts w:asciiTheme="majorHAnsi" w:hAnsiTheme="majorHAnsi"/>
        </w:rPr>
      </w:pPr>
      <w:r>
        <w:rPr>
          <w:rFonts w:asciiTheme="majorHAnsi" w:hAnsiTheme="majorHAnsi"/>
        </w:rPr>
        <w:t xml:space="preserve">Příloha č. </w:t>
      </w:r>
      <w:r w:rsidR="00645940" w:rsidRPr="00645940">
        <w:rPr>
          <w:rFonts w:asciiTheme="majorHAnsi" w:hAnsiTheme="majorHAnsi"/>
        </w:rPr>
        <w:t>1</w:t>
      </w:r>
      <w:r w:rsidR="00897C2C" w:rsidRPr="00645940">
        <w:rPr>
          <w:rFonts w:asciiTheme="majorHAnsi" w:hAnsiTheme="majorHAnsi"/>
        </w:rPr>
        <w:t xml:space="preserve"> </w:t>
      </w:r>
      <w:r>
        <w:rPr>
          <w:rFonts w:asciiTheme="majorHAnsi" w:hAnsiTheme="majorHAnsi"/>
        </w:rPr>
        <w:t xml:space="preserve">- </w:t>
      </w:r>
      <w:r w:rsidR="00897C2C" w:rsidRPr="00645940">
        <w:rPr>
          <w:rFonts w:asciiTheme="majorHAnsi" w:hAnsiTheme="majorHAnsi"/>
        </w:rPr>
        <w:t>Specifikace Plnění</w:t>
      </w:r>
    </w:p>
    <w:p w14:paraId="6DB7F70F" w14:textId="4C6F9F28" w:rsidR="002D1187" w:rsidRPr="002D1187" w:rsidRDefault="002D1187" w:rsidP="00715D00">
      <w:pPr>
        <w:spacing w:after="0" w:line="276" w:lineRule="auto"/>
        <w:rPr>
          <w:rFonts w:asciiTheme="majorHAnsi" w:hAnsiTheme="majorHAnsi"/>
        </w:rPr>
      </w:pPr>
      <w:r w:rsidRPr="002D1187">
        <w:rPr>
          <w:rFonts w:asciiTheme="majorHAnsi" w:hAnsiTheme="majorHAnsi"/>
        </w:rPr>
        <w:t>Příloha č. 2 – Zvláštní obchodní podmínky</w:t>
      </w:r>
    </w:p>
    <w:p w14:paraId="45A67950" w14:textId="218D97D7" w:rsidR="000A7EBC" w:rsidRPr="002D1187" w:rsidRDefault="002D1187" w:rsidP="00715D00">
      <w:pPr>
        <w:spacing w:after="0" w:line="276" w:lineRule="auto"/>
        <w:rPr>
          <w:rFonts w:asciiTheme="majorHAnsi" w:hAnsiTheme="majorHAnsi"/>
        </w:rPr>
      </w:pPr>
      <w:r w:rsidRPr="002D1187">
        <w:rPr>
          <w:rFonts w:asciiTheme="majorHAnsi" w:hAnsiTheme="majorHAnsi"/>
        </w:rPr>
        <w:t xml:space="preserve">Příloha č. 3 </w:t>
      </w:r>
      <w:r w:rsidR="000A7EBC" w:rsidRPr="002D1187">
        <w:rPr>
          <w:rFonts w:asciiTheme="majorHAnsi" w:hAnsiTheme="majorHAnsi"/>
        </w:rPr>
        <w:t>– Poddodavatelé</w:t>
      </w:r>
    </w:p>
    <w:p w14:paraId="11F7078E" w14:textId="745CDC95" w:rsidR="002D1187" w:rsidRPr="00C04F70" w:rsidRDefault="002D1187" w:rsidP="002D1187">
      <w:pPr>
        <w:spacing w:after="0" w:line="276" w:lineRule="auto"/>
        <w:rPr>
          <w:rFonts w:asciiTheme="majorHAnsi" w:hAnsiTheme="majorHAnsi"/>
        </w:rPr>
      </w:pPr>
      <w:r w:rsidRPr="00C04F70">
        <w:rPr>
          <w:rFonts w:asciiTheme="majorHAnsi" w:hAnsiTheme="majorHAnsi"/>
        </w:rPr>
        <w:t>Příloha č. 4 – Platforma Správy železnic</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01A0E319" w14:textId="4229C2BA" w:rsidR="00227536"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116B02BC" w14:textId="76038F64" w:rsidR="00254B31" w:rsidRPr="00227536" w:rsidRDefault="00227536" w:rsidP="00254B31">
      <w:pPr>
        <w:spacing w:after="0" w:line="276" w:lineRule="auto"/>
        <w:rPr>
          <w:rFonts w:asciiTheme="majorHAnsi" w:hAnsiTheme="majorHAnsi"/>
          <w:b/>
        </w:rPr>
      </w:pPr>
      <w:r w:rsidRPr="00227536">
        <w:rPr>
          <w:rFonts w:asciiTheme="majorHAnsi" w:hAnsiTheme="majorHAnsi"/>
          <w:b/>
        </w:rPr>
        <w:t>Ing. Aleš Krejčí</w:t>
      </w:r>
    </w:p>
    <w:p w14:paraId="5154AB4E" w14:textId="0A1414E1" w:rsidR="00254B31" w:rsidRDefault="00227536" w:rsidP="00254B31">
      <w:pPr>
        <w:spacing w:after="0" w:line="276" w:lineRule="auto"/>
        <w:rPr>
          <w:rFonts w:asciiTheme="majorHAnsi" w:hAnsiTheme="majorHAnsi"/>
        </w:rPr>
      </w:pPr>
      <w:r>
        <w:rPr>
          <w:noProof/>
        </w:rPr>
        <w:t>náměstek GŘ pro ekonomiku</w:t>
      </w:r>
      <w:r w:rsidRPr="00227536">
        <w:rPr>
          <w:rFonts w:asciiTheme="majorHAnsi" w:hAnsiTheme="majorHAnsi"/>
        </w:rPr>
        <w:t xml:space="preserve"> </w:t>
      </w:r>
      <w:r w:rsidRPr="00227536">
        <w:rPr>
          <w:rFonts w:asciiTheme="majorHAnsi" w:hAnsiTheme="majorHAnsi"/>
        </w:rPr>
        <w:tab/>
        <w:t xml:space="preserve">  </w:t>
      </w:r>
      <w:r w:rsidRPr="00227536">
        <w:rPr>
          <w:rFonts w:asciiTheme="majorHAnsi" w:hAnsiTheme="majorHAnsi"/>
        </w:rPr>
        <w:tab/>
      </w:r>
      <w:r w:rsidRPr="00227536">
        <w:rPr>
          <w:rFonts w:asciiTheme="majorHAnsi" w:hAnsiTheme="majorHAnsi"/>
        </w:rPr>
        <w:tab/>
      </w:r>
      <w:r w:rsidRPr="00227536">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8183D" w14:textId="77777777" w:rsidR="00D62287" w:rsidRDefault="00D62287" w:rsidP="00962258">
      <w:pPr>
        <w:spacing w:after="0" w:line="240" w:lineRule="auto"/>
      </w:pPr>
      <w:r>
        <w:separator/>
      </w:r>
    </w:p>
  </w:endnote>
  <w:endnote w:type="continuationSeparator" w:id="0">
    <w:p w14:paraId="75EFE842" w14:textId="77777777" w:rsidR="00D62287" w:rsidRDefault="00D622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03A5FC63"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C1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0C1F">
      <w:rPr>
        <w:rStyle w:val="slostrnky"/>
        <w:noProof/>
      </w:rPr>
      <w:t>6</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E199D0"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8C694A"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1E171968"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C1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0C1F">
            <w:rPr>
              <w:rStyle w:val="slostrnky"/>
              <w:noProof/>
            </w:rPr>
            <w:t>6</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77777777" w:rsidR="00AD4BD9" w:rsidRDefault="00AD4BD9" w:rsidP="00AD4BD9">
          <w:pPr>
            <w:pStyle w:val="Zpat"/>
          </w:pPr>
          <w:r>
            <w:t>www.szdc.cz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0DF3D" w14:textId="77777777" w:rsidR="00D62287" w:rsidRDefault="00D62287" w:rsidP="00962258">
      <w:pPr>
        <w:spacing w:after="0" w:line="240" w:lineRule="auto"/>
      </w:pPr>
      <w:r>
        <w:separator/>
      </w:r>
    </w:p>
  </w:footnote>
  <w:footnote w:type="continuationSeparator" w:id="0">
    <w:p w14:paraId="6ED3CB3C" w14:textId="77777777" w:rsidR="00D62287" w:rsidRDefault="00D622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4790615"/>
    <w:multiLevelType w:val="multilevel"/>
    <w:tmpl w:val="209E9680"/>
    <w:lvl w:ilvl="0">
      <w:start w:val="1"/>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7" w15:restartNumberingAfterBreak="0">
    <w:nsid w:val="7AF6103C"/>
    <w:multiLevelType w:val="multilevel"/>
    <w:tmpl w:val="CABE99FC"/>
    <w:numStyleLink w:val="ListNumbermultilevel"/>
  </w:abstractNum>
  <w:num w:numId="1">
    <w:abstractNumId w:val="2"/>
  </w:num>
  <w:num w:numId="2">
    <w:abstractNumId w:val="1"/>
  </w:num>
  <w:num w:numId="3">
    <w:abstractNumId w:val="3"/>
  </w:num>
  <w:num w:numId="4">
    <w:abstractNumId w:val="4"/>
  </w:num>
  <w:num w:numId="5">
    <w:abstractNumId w:val="6"/>
  </w:num>
  <w:num w:numId="6">
    <w:abstractNumId w:val="7"/>
    <w:lvlOverride w:ilvl="1">
      <w:lvl w:ilvl="1">
        <w:start w:val="1"/>
        <w:numFmt w:val="decimal"/>
        <w:pStyle w:val="slovanseznam2"/>
        <w:lvlText w:val="%1.%2"/>
        <w:lvlJc w:val="left"/>
        <w:pPr>
          <w:tabs>
            <w:tab w:val="num" w:pos="1191"/>
          </w:tabs>
          <w:ind w:left="1077" w:hanging="453"/>
        </w:pPr>
        <w:rPr>
          <w:rFonts w:hint="default"/>
        </w:rPr>
      </w:lvl>
    </w:lvlOverride>
  </w:num>
  <w:num w:numId="7">
    <w:abstractNumId w:val="0"/>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1011"/>
    <w:rsid w:val="00047260"/>
    <w:rsid w:val="00053158"/>
    <w:rsid w:val="000623BB"/>
    <w:rsid w:val="00065E83"/>
    <w:rsid w:val="00072C1E"/>
    <w:rsid w:val="0007414E"/>
    <w:rsid w:val="000904B4"/>
    <w:rsid w:val="00092CD9"/>
    <w:rsid w:val="00097F37"/>
    <w:rsid w:val="000A1BD4"/>
    <w:rsid w:val="000A7EBC"/>
    <w:rsid w:val="000C6D45"/>
    <w:rsid w:val="000D3ADE"/>
    <w:rsid w:val="000E23A7"/>
    <w:rsid w:val="000E2E68"/>
    <w:rsid w:val="0010693F"/>
    <w:rsid w:val="00114472"/>
    <w:rsid w:val="00131169"/>
    <w:rsid w:val="00133229"/>
    <w:rsid w:val="0014565C"/>
    <w:rsid w:val="00153B54"/>
    <w:rsid w:val="001550BC"/>
    <w:rsid w:val="001605B9"/>
    <w:rsid w:val="00162D7B"/>
    <w:rsid w:val="001659E9"/>
    <w:rsid w:val="00170EC5"/>
    <w:rsid w:val="001747C1"/>
    <w:rsid w:val="001806CA"/>
    <w:rsid w:val="00184743"/>
    <w:rsid w:val="001975F5"/>
    <w:rsid w:val="001B2F04"/>
    <w:rsid w:val="001D6F7E"/>
    <w:rsid w:val="001E7681"/>
    <w:rsid w:val="001F0FAC"/>
    <w:rsid w:val="001F6D05"/>
    <w:rsid w:val="001F763F"/>
    <w:rsid w:val="0020222C"/>
    <w:rsid w:val="00207DF5"/>
    <w:rsid w:val="002109F9"/>
    <w:rsid w:val="00213356"/>
    <w:rsid w:val="00222F74"/>
    <w:rsid w:val="00227536"/>
    <w:rsid w:val="00247DC9"/>
    <w:rsid w:val="00252F2B"/>
    <w:rsid w:val="00254B31"/>
    <w:rsid w:val="0025503B"/>
    <w:rsid w:val="00261711"/>
    <w:rsid w:val="00263565"/>
    <w:rsid w:val="00275D5F"/>
    <w:rsid w:val="00280C0C"/>
    <w:rsid w:val="00280E07"/>
    <w:rsid w:val="00291B07"/>
    <w:rsid w:val="00295F84"/>
    <w:rsid w:val="002B0B85"/>
    <w:rsid w:val="002B3E61"/>
    <w:rsid w:val="002B72B2"/>
    <w:rsid w:val="002C31BF"/>
    <w:rsid w:val="002D08B1"/>
    <w:rsid w:val="002D1187"/>
    <w:rsid w:val="002D461A"/>
    <w:rsid w:val="002D7314"/>
    <w:rsid w:val="002E0CD7"/>
    <w:rsid w:val="002E377F"/>
    <w:rsid w:val="002E3F07"/>
    <w:rsid w:val="002F3DE9"/>
    <w:rsid w:val="002F42E7"/>
    <w:rsid w:val="003019CE"/>
    <w:rsid w:val="0031173B"/>
    <w:rsid w:val="0032510E"/>
    <w:rsid w:val="003262F5"/>
    <w:rsid w:val="00327431"/>
    <w:rsid w:val="0034033F"/>
    <w:rsid w:val="00341DCF"/>
    <w:rsid w:val="0034498F"/>
    <w:rsid w:val="00347C87"/>
    <w:rsid w:val="00357BC6"/>
    <w:rsid w:val="00362C60"/>
    <w:rsid w:val="00362E35"/>
    <w:rsid w:val="003656E8"/>
    <w:rsid w:val="00382D2B"/>
    <w:rsid w:val="003833FB"/>
    <w:rsid w:val="003909C0"/>
    <w:rsid w:val="003956C6"/>
    <w:rsid w:val="003A1A33"/>
    <w:rsid w:val="003A302A"/>
    <w:rsid w:val="003C5769"/>
    <w:rsid w:val="00425499"/>
    <w:rsid w:val="00441430"/>
    <w:rsid w:val="00445CFA"/>
    <w:rsid w:val="00450F07"/>
    <w:rsid w:val="00453CD3"/>
    <w:rsid w:val="00460660"/>
    <w:rsid w:val="00464CC8"/>
    <w:rsid w:val="00480C1F"/>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60B4"/>
    <w:rsid w:val="00507E8F"/>
    <w:rsid w:val="00511AB9"/>
    <w:rsid w:val="00523EA7"/>
    <w:rsid w:val="005466DD"/>
    <w:rsid w:val="00553375"/>
    <w:rsid w:val="00567BCB"/>
    <w:rsid w:val="005736B7"/>
    <w:rsid w:val="00575E5A"/>
    <w:rsid w:val="00595F71"/>
    <w:rsid w:val="005A3662"/>
    <w:rsid w:val="005A41AD"/>
    <w:rsid w:val="005C24C9"/>
    <w:rsid w:val="005C6130"/>
    <w:rsid w:val="005E2084"/>
    <w:rsid w:val="005E2839"/>
    <w:rsid w:val="005E64A6"/>
    <w:rsid w:val="005F1404"/>
    <w:rsid w:val="0061068E"/>
    <w:rsid w:val="00615789"/>
    <w:rsid w:val="006171C8"/>
    <w:rsid w:val="006221DC"/>
    <w:rsid w:val="006239A6"/>
    <w:rsid w:val="00624971"/>
    <w:rsid w:val="00624A19"/>
    <w:rsid w:val="0063371F"/>
    <w:rsid w:val="006413B7"/>
    <w:rsid w:val="00645940"/>
    <w:rsid w:val="0064774B"/>
    <w:rsid w:val="00660AD0"/>
    <w:rsid w:val="00660AD3"/>
    <w:rsid w:val="00677B7F"/>
    <w:rsid w:val="00685DCA"/>
    <w:rsid w:val="006862DF"/>
    <w:rsid w:val="0068641C"/>
    <w:rsid w:val="006943C0"/>
    <w:rsid w:val="00696698"/>
    <w:rsid w:val="006A5570"/>
    <w:rsid w:val="006A689C"/>
    <w:rsid w:val="006B3D79"/>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336C4"/>
    <w:rsid w:val="0073442F"/>
    <w:rsid w:val="00743525"/>
    <w:rsid w:val="00745D74"/>
    <w:rsid w:val="00747B4E"/>
    <w:rsid w:val="0076286B"/>
    <w:rsid w:val="00766846"/>
    <w:rsid w:val="0077363D"/>
    <w:rsid w:val="0077673A"/>
    <w:rsid w:val="00783024"/>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D3988"/>
    <w:rsid w:val="008E31F1"/>
    <w:rsid w:val="008E5064"/>
    <w:rsid w:val="008E791D"/>
    <w:rsid w:val="008F18D6"/>
    <w:rsid w:val="008F5E52"/>
    <w:rsid w:val="008F60C6"/>
    <w:rsid w:val="008F7353"/>
    <w:rsid w:val="0090354A"/>
    <w:rsid w:val="00904780"/>
    <w:rsid w:val="00917C14"/>
    <w:rsid w:val="00922385"/>
    <w:rsid w:val="009223DF"/>
    <w:rsid w:val="00931BF0"/>
    <w:rsid w:val="00936091"/>
    <w:rsid w:val="00940D8A"/>
    <w:rsid w:val="009439B3"/>
    <w:rsid w:val="00947509"/>
    <w:rsid w:val="00962258"/>
    <w:rsid w:val="009678B7"/>
    <w:rsid w:val="00972AB0"/>
    <w:rsid w:val="009833E1"/>
    <w:rsid w:val="00992D9C"/>
    <w:rsid w:val="00996CB8"/>
    <w:rsid w:val="009A1CA4"/>
    <w:rsid w:val="009B14A9"/>
    <w:rsid w:val="009B2E97"/>
    <w:rsid w:val="009B4BA0"/>
    <w:rsid w:val="009B5F56"/>
    <w:rsid w:val="009C0A64"/>
    <w:rsid w:val="009D1BA2"/>
    <w:rsid w:val="009D2831"/>
    <w:rsid w:val="009D50D4"/>
    <w:rsid w:val="009E07F4"/>
    <w:rsid w:val="009F392E"/>
    <w:rsid w:val="009F3947"/>
    <w:rsid w:val="00A037C2"/>
    <w:rsid w:val="00A04525"/>
    <w:rsid w:val="00A06158"/>
    <w:rsid w:val="00A16B5F"/>
    <w:rsid w:val="00A35755"/>
    <w:rsid w:val="00A37B7A"/>
    <w:rsid w:val="00A404A5"/>
    <w:rsid w:val="00A6177B"/>
    <w:rsid w:val="00A66136"/>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80A23"/>
    <w:rsid w:val="00B8518B"/>
    <w:rsid w:val="00B91E11"/>
    <w:rsid w:val="00BA2F91"/>
    <w:rsid w:val="00BB276C"/>
    <w:rsid w:val="00BB6791"/>
    <w:rsid w:val="00BC4CE4"/>
    <w:rsid w:val="00BD7E91"/>
    <w:rsid w:val="00BE0BE3"/>
    <w:rsid w:val="00BE7D13"/>
    <w:rsid w:val="00BF2167"/>
    <w:rsid w:val="00C02406"/>
    <w:rsid w:val="00C02D0A"/>
    <w:rsid w:val="00C03A6E"/>
    <w:rsid w:val="00C04F70"/>
    <w:rsid w:val="00C10E4D"/>
    <w:rsid w:val="00C11C50"/>
    <w:rsid w:val="00C24989"/>
    <w:rsid w:val="00C2715F"/>
    <w:rsid w:val="00C44806"/>
    <w:rsid w:val="00C44F6A"/>
    <w:rsid w:val="00C45175"/>
    <w:rsid w:val="00C47AE3"/>
    <w:rsid w:val="00C51FEE"/>
    <w:rsid w:val="00C53CD3"/>
    <w:rsid w:val="00C70843"/>
    <w:rsid w:val="00C730B9"/>
    <w:rsid w:val="00C7366B"/>
    <w:rsid w:val="00C7646D"/>
    <w:rsid w:val="00C96F4A"/>
    <w:rsid w:val="00CB0E30"/>
    <w:rsid w:val="00CC2C09"/>
    <w:rsid w:val="00CD1FC4"/>
    <w:rsid w:val="00CE56F8"/>
    <w:rsid w:val="00CF17BE"/>
    <w:rsid w:val="00D21061"/>
    <w:rsid w:val="00D2450A"/>
    <w:rsid w:val="00D31E61"/>
    <w:rsid w:val="00D4108E"/>
    <w:rsid w:val="00D57E4D"/>
    <w:rsid w:val="00D6163D"/>
    <w:rsid w:val="00D62287"/>
    <w:rsid w:val="00D738C7"/>
    <w:rsid w:val="00D73934"/>
    <w:rsid w:val="00D80514"/>
    <w:rsid w:val="00D831A3"/>
    <w:rsid w:val="00D8570C"/>
    <w:rsid w:val="00D86668"/>
    <w:rsid w:val="00D90583"/>
    <w:rsid w:val="00D92FF5"/>
    <w:rsid w:val="00DA32A6"/>
    <w:rsid w:val="00DB1ECF"/>
    <w:rsid w:val="00DB2B0F"/>
    <w:rsid w:val="00DB3B77"/>
    <w:rsid w:val="00DB4B0B"/>
    <w:rsid w:val="00DC3026"/>
    <w:rsid w:val="00DC380C"/>
    <w:rsid w:val="00DC75F3"/>
    <w:rsid w:val="00DD46F3"/>
    <w:rsid w:val="00DD4FD3"/>
    <w:rsid w:val="00DD6B14"/>
    <w:rsid w:val="00DE56F2"/>
    <w:rsid w:val="00DF116D"/>
    <w:rsid w:val="00DF7464"/>
    <w:rsid w:val="00E40685"/>
    <w:rsid w:val="00E631F4"/>
    <w:rsid w:val="00E659BE"/>
    <w:rsid w:val="00E661B4"/>
    <w:rsid w:val="00E66AF9"/>
    <w:rsid w:val="00E756EF"/>
    <w:rsid w:val="00E86F16"/>
    <w:rsid w:val="00E90396"/>
    <w:rsid w:val="00E90C16"/>
    <w:rsid w:val="00EA57B9"/>
    <w:rsid w:val="00EB104F"/>
    <w:rsid w:val="00ED14BD"/>
    <w:rsid w:val="00ED314E"/>
    <w:rsid w:val="00ED43E8"/>
    <w:rsid w:val="00ED7F5D"/>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9D7"/>
    <w:rsid w:val="00F96FA1"/>
    <w:rsid w:val="00FA5811"/>
    <w:rsid w:val="00FB018F"/>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4BBA3D"/>
  <w14:defaultImageDpi w14:val="32767"/>
  <w15:docId w15:val="{F8099559-0A86-4FFE-B3D4-85C1A807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4"/>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4"/>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4"/>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5"/>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E6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B1642EA9-AD8C-413A-A3BC-573CDFB79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6</Pages>
  <Words>2023</Words>
  <Characters>11936</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Herdová Veronika, DiS.</cp:lastModifiedBy>
  <cp:revision>13</cp:revision>
  <cp:lastPrinted>2019-02-25T13:30:00Z</cp:lastPrinted>
  <dcterms:created xsi:type="dcterms:W3CDTF">2020-06-17T08:46:00Z</dcterms:created>
  <dcterms:modified xsi:type="dcterms:W3CDTF">2020-06-24T10:12:00Z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